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B2EFA">
      <w:pPr>
        <w:ind w:left="426" w:right="-17"/>
        <w:jc w:val="center"/>
        <w:rPr>
          <w:rFonts w:ascii="Arial" w:hAnsi="Arial" w:cs="Arial"/>
          <w:b/>
        </w:rPr>
      </w:pPr>
      <w:bookmarkStart w:id="0" w:name="_Hlk142658039"/>
      <w:r>
        <w:rPr>
          <w:rFonts w:ascii="Arial" w:hAnsi="Arial" w:cs="Arial"/>
          <w:b/>
        </w:rPr>
        <w:t>ANEXO VII</w:t>
      </w:r>
    </w:p>
    <w:p w14:paraId="33E7DDFE">
      <w:pPr>
        <w:ind w:left="426" w:right="-17"/>
        <w:jc w:val="center"/>
        <w:rPr>
          <w:rFonts w:ascii="Arial" w:hAnsi="Arial" w:cs="Arial"/>
          <w:b/>
        </w:rPr>
      </w:pPr>
    </w:p>
    <w:p w14:paraId="1880FC0D">
      <w:pPr>
        <w:ind w:left="0" w:leftChars="0" w:right="-17" w:hanging="5" w:firstLineChars="0"/>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A2F937F">
      <w:pPr>
        <w:ind w:left="426" w:right="-17"/>
        <w:jc w:val="center"/>
        <w:rPr>
          <w:rFonts w:ascii="Arial" w:hAnsi="Arial" w:cs="Arial"/>
          <w:b/>
        </w:rPr>
      </w:pPr>
    </w:p>
    <w:p w14:paraId="34DA7B2B">
      <w:pPr>
        <w:ind w:left="4253" w:right="-17"/>
        <w:jc w:val="both"/>
        <w:rPr>
          <w:rFonts w:ascii="Arial" w:hAnsi="Arial" w:cs="Arial"/>
          <w:b/>
        </w:rPr>
      </w:pPr>
    </w:p>
    <w:p w14:paraId="1CBC929F">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35311335">
      <w:pPr>
        <w:spacing w:line="276" w:lineRule="auto"/>
        <w:ind w:left="5103" w:right="-17"/>
        <w:jc w:val="both"/>
        <w:rPr>
          <w:rFonts w:ascii="Arial" w:hAnsi="Arial" w:cs="Arial"/>
          <w:b/>
        </w:rPr>
      </w:pPr>
    </w:p>
    <w:bookmarkEnd w:id="1"/>
    <w:p w14:paraId="5AFA9A54">
      <w:pPr>
        <w:pStyle w:val="14"/>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44.547/2025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resolve</w:t>
      </w:r>
      <w:bookmarkStart w:id="16" w:name="_GoBack"/>
      <w:r>
        <w:rPr>
          <w:rFonts w:ascii="Arial" w:hAnsi="Arial" w:cs="Arial"/>
          <w:sz w:val="22"/>
          <w:szCs w:val="22"/>
          <w:highlight w:val="none"/>
        </w:rPr>
        <w:t xml:space="preser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33/2026</w:t>
      </w:r>
      <w:r>
        <w:rPr>
          <w:rFonts w:ascii="Arial" w:hAnsi="Arial" w:cs="Arial"/>
          <w:sz w:val="22"/>
          <w:szCs w:val="22"/>
          <w:highlight w:val="none"/>
        </w:rPr>
        <w:t>, median</w:t>
      </w:r>
      <w:bookmarkEnd w:id="16"/>
      <w:r>
        <w:rPr>
          <w:rFonts w:ascii="Arial" w:hAnsi="Arial" w:cs="Arial"/>
          <w:sz w:val="22"/>
          <w:szCs w:val="22"/>
        </w:rPr>
        <w:t>te as cláusulas e condições a seguir enunciadas.</w:t>
      </w:r>
    </w:p>
    <w:p w14:paraId="1018985A">
      <w:pPr>
        <w:pStyle w:val="20"/>
        <w:numPr>
          <w:ilvl w:val="0"/>
          <w:numId w:val="3"/>
        </w:numPr>
        <w:tabs>
          <w:tab w:val="left" w:pos="0"/>
        </w:tabs>
        <w:spacing w:line="276" w:lineRule="auto"/>
        <w:ind w:left="0" w:leftChars="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1B079A3D">
      <w:pPr>
        <w:pStyle w:val="20"/>
        <w:widowControl/>
        <w:numPr>
          <w:ilvl w:val="1"/>
          <w:numId w:val="3"/>
        </w:numPr>
        <w:tabs>
          <w:tab w:val="left" w:pos="0"/>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 O objeto do presente instrumento é </w:t>
      </w:r>
      <w:r>
        <w:rPr>
          <w:rFonts w:hint="default" w:ascii="Arial" w:hAnsi="Arial" w:cs="Arial"/>
          <w:bCs/>
          <w:iCs/>
          <w:lang w:val="pt-BR"/>
        </w:rPr>
        <w:t>a</w:t>
      </w:r>
      <w:r>
        <w:rPr>
          <w:rFonts w:hint="default" w:ascii="Arial" w:hAnsi="Arial" w:cs="Arial"/>
          <w:b/>
          <w:bCs w:val="0"/>
          <w:iCs/>
          <w:lang w:val="pt-BR"/>
        </w:rPr>
        <w:t xml:space="preserve"> aquisição de Equipamento Odontológico, visando suprir as necessidades da Secretaria Municipal de Saúde,</w:t>
      </w:r>
      <w:r>
        <w:rPr>
          <w:rFonts w:ascii="Arial" w:hAnsi="Arial" w:cs="Arial"/>
          <w:bCs/>
          <w:iCs/>
        </w:rPr>
        <w:t xml:space="preserve"> nas condições estabelecidas no Termo de Referência – Anexo I do edital.</w:t>
      </w:r>
    </w:p>
    <w:p w14:paraId="356830DD">
      <w:pPr>
        <w:pStyle w:val="20"/>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rPr>
      </w:pPr>
      <w:r>
        <w:rPr>
          <w:rFonts w:ascii="Arial" w:hAnsi="Arial" w:cs="Arial"/>
          <w:iCs/>
        </w:rPr>
        <w:t>Objeto da contratação:</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650E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737A00E3">
            <w:pPr>
              <w:pStyle w:val="20"/>
              <w:ind w:left="0" w:leftChars="0" w:firstLine="0" w:firstLineChars="0"/>
              <w:jc w:val="center"/>
              <w:rPr>
                <w:rFonts w:ascii="Arial" w:hAnsi="Arial" w:cs="Arial"/>
                <w:b/>
              </w:rPr>
            </w:pPr>
            <w:r>
              <w:rPr>
                <w:rFonts w:ascii="Arial" w:hAnsi="Arial" w:cs="Arial"/>
                <w:b/>
              </w:rPr>
              <w:t>ITEM</w:t>
            </w:r>
          </w:p>
        </w:tc>
        <w:tc>
          <w:tcPr>
            <w:tcW w:w="606" w:type="pct"/>
            <w:vMerge w:val="restart"/>
            <w:shd w:val="clear" w:color="auto" w:fill="D8D8D8"/>
            <w:vAlign w:val="center"/>
          </w:tcPr>
          <w:p w14:paraId="349976F1">
            <w:pPr>
              <w:pStyle w:val="20"/>
              <w:ind w:left="0" w:leftChars="0" w:firstLine="0" w:firstLineChars="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74B7117">
            <w:pPr>
              <w:pStyle w:val="20"/>
              <w:ind w:left="0" w:leftChars="0" w:firstLine="0" w:firstLineChars="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5E3A709B">
            <w:pPr>
              <w:pStyle w:val="20"/>
              <w:ind w:left="0" w:leftChars="0" w:firstLine="0" w:firstLineChars="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3720AB41">
            <w:pPr>
              <w:pStyle w:val="20"/>
              <w:ind w:left="0" w:leftChars="0" w:firstLine="0" w:firstLineChars="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A65E2E">
            <w:pPr>
              <w:pStyle w:val="20"/>
              <w:ind w:left="0" w:leftChars="0" w:firstLine="0" w:firstLineChars="0"/>
              <w:jc w:val="center"/>
              <w:rPr>
                <w:rFonts w:ascii="Arial" w:hAnsi="Arial" w:cs="Arial"/>
                <w:b/>
              </w:rPr>
            </w:pPr>
            <w:r>
              <w:rPr>
                <w:rFonts w:ascii="Arial" w:hAnsi="Arial" w:cs="Arial"/>
                <w:b/>
              </w:rPr>
              <w:t>VALOR</w:t>
            </w:r>
          </w:p>
        </w:tc>
      </w:tr>
      <w:tr w14:paraId="3824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6293B1EA">
            <w:pPr>
              <w:ind w:left="0" w:leftChars="0" w:firstLine="0" w:firstLineChars="0"/>
              <w:rPr>
                <w:rFonts w:ascii="Arial" w:hAnsi="Arial" w:cs="Arial"/>
              </w:rPr>
            </w:pPr>
          </w:p>
        </w:tc>
        <w:tc>
          <w:tcPr>
            <w:tcW w:w="606" w:type="pct"/>
            <w:vMerge w:val="continue"/>
            <w:shd w:val="clear" w:color="auto" w:fill="D8D8D8"/>
          </w:tcPr>
          <w:p w14:paraId="083F5683">
            <w:pPr>
              <w:ind w:left="0" w:leftChars="0" w:firstLine="0" w:firstLineChars="0"/>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F81CDB">
            <w:pPr>
              <w:ind w:left="0" w:leftChars="0" w:firstLine="0" w:firstLineChars="0"/>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6456FE91">
            <w:pPr>
              <w:ind w:left="0" w:leftChars="0" w:firstLine="0" w:firstLineChars="0"/>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42640172">
            <w:pPr>
              <w:ind w:left="0" w:leftChars="0" w:firstLine="0" w:firstLineChars="0"/>
              <w:rPr>
                <w:rFonts w:ascii="Arial" w:hAnsi="Arial" w:cs="Arial"/>
              </w:rPr>
            </w:pPr>
          </w:p>
        </w:tc>
        <w:tc>
          <w:tcPr>
            <w:tcW w:w="839" w:type="pct"/>
            <w:shd w:val="clear" w:color="auto" w:fill="D8D8D8"/>
            <w:tcMar>
              <w:top w:w="0" w:type="dxa"/>
              <w:left w:w="108" w:type="dxa"/>
              <w:bottom w:w="0" w:type="dxa"/>
              <w:right w:w="108" w:type="dxa"/>
            </w:tcMar>
            <w:vAlign w:val="center"/>
          </w:tcPr>
          <w:p w14:paraId="447305A2">
            <w:pPr>
              <w:pStyle w:val="20"/>
              <w:ind w:left="0" w:leftChars="0" w:firstLine="0" w:firstLineChars="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0948A65A">
            <w:pPr>
              <w:pStyle w:val="20"/>
              <w:ind w:left="0" w:leftChars="0" w:firstLine="0" w:firstLineChars="0"/>
              <w:jc w:val="center"/>
              <w:rPr>
                <w:rFonts w:ascii="Arial" w:hAnsi="Arial" w:cs="Arial"/>
                <w:b/>
              </w:rPr>
            </w:pPr>
            <w:r>
              <w:rPr>
                <w:rFonts w:ascii="Arial" w:hAnsi="Arial" w:cs="Arial"/>
                <w:b/>
              </w:rPr>
              <w:t>TOTAL</w:t>
            </w:r>
          </w:p>
        </w:tc>
      </w:tr>
      <w:tr w14:paraId="7222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7DAC1D59">
            <w:pPr>
              <w:pStyle w:val="39"/>
              <w:ind w:left="0" w:leftChars="0" w:firstLine="0" w:firstLineChars="0"/>
              <w:jc w:val="center"/>
              <w:rPr>
                <w:rFonts w:ascii="Arial" w:hAnsi="Arial" w:cs="Arial"/>
                <w:b/>
              </w:rPr>
            </w:pPr>
            <w:r>
              <w:rPr>
                <w:rFonts w:ascii="Arial" w:hAnsi="Arial" w:cs="Arial"/>
                <w:b/>
              </w:rPr>
              <w:t>1</w:t>
            </w:r>
          </w:p>
        </w:tc>
        <w:tc>
          <w:tcPr>
            <w:tcW w:w="606" w:type="pct"/>
          </w:tcPr>
          <w:p w14:paraId="1FC2330F">
            <w:pPr>
              <w:pStyle w:val="39"/>
              <w:ind w:left="0" w:leftChars="0" w:firstLine="0" w:firstLineChars="0"/>
              <w:jc w:val="both"/>
              <w:rPr>
                <w:rFonts w:ascii="Arial" w:hAnsi="Arial" w:cs="Arial"/>
              </w:rPr>
            </w:pPr>
          </w:p>
        </w:tc>
        <w:tc>
          <w:tcPr>
            <w:tcW w:w="1328" w:type="pct"/>
            <w:tcMar>
              <w:top w:w="0" w:type="dxa"/>
              <w:left w:w="108" w:type="dxa"/>
              <w:bottom w:w="0" w:type="dxa"/>
              <w:right w:w="108" w:type="dxa"/>
            </w:tcMar>
            <w:vAlign w:val="center"/>
          </w:tcPr>
          <w:p w14:paraId="309BE8ED">
            <w:pPr>
              <w:pStyle w:val="39"/>
              <w:ind w:left="0" w:leftChars="0" w:firstLine="0" w:firstLineChars="0"/>
              <w:jc w:val="both"/>
              <w:rPr>
                <w:rFonts w:ascii="Arial" w:hAnsi="Arial" w:cs="Arial"/>
              </w:rPr>
            </w:pPr>
          </w:p>
        </w:tc>
        <w:tc>
          <w:tcPr>
            <w:tcW w:w="534" w:type="pct"/>
            <w:tcMar>
              <w:top w:w="0" w:type="dxa"/>
              <w:left w:w="108" w:type="dxa"/>
              <w:bottom w:w="0" w:type="dxa"/>
              <w:right w:w="108" w:type="dxa"/>
            </w:tcMar>
            <w:vAlign w:val="center"/>
          </w:tcPr>
          <w:p w14:paraId="021601DC">
            <w:pPr>
              <w:pStyle w:val="39"/>
              <w:ind w:left="0" w:leftChars="0" w:firstLine="0" w:firstLineChars="0"/>
              <w:jc w:val="center"/>
              <w:rPr>
                <w:rFonts w:ascii="Arial" w:hAnsi="Arial" w:cs="Arial"/>
              </w:rPr>
            </w:pPr>
          </w:p>
        </w:tc>
        <w:tc>
          <w:tcPr>
            <w:tcW w:w="583" w:type="pct"/>
            <w:tcMar>
              <w:top w:w="0" w:type="dxa"/>
              <w:left w:w="108" w:type="dxa"/>
              <w:bottom w:w="0" w:type="dxa"/>
              <w:right w:w="108" w:type="dxa"/>
            </w:tcMar>
            <w:vAlign w:val="center"/>
          </w:tcPr>
          <w:p w14:paraId="6C6FCC61">
            <w:pPr>
              <w:pStyle w:val="39"/>
              <w:ind w:left="0" w:leftChars="0" w:firstLine="0" w:firstLineChars="0"/>
              <w:jc w:val="center"/>
              <w:rPr>
                <w:rFonts w:ascii="Arial" w:hAnsi="Arial" w:cs="Arial"/>
                <w:b/>
              </w:rPr>
            </w:pPr>
          </w:p>
        </w:tc>
        <w:tc>
          <w:tcPr>
            <w:tcW w:w="839" w:type="pct"/>
            <w:tcMar>
              <w:top w:w="0" w:type="dxa"/>
              <w:left w:w="108" w:type="dxa"/>
              <w:bottom w:w="0" w:type="dxa"/>
              <w:right w:w="108" w:type="dxa"/>
            </w:tcMar>
            <w:vAlign w:val="center"/>
          </w:tcPr>
          <w:p w14:paraId="7DF55A5F">
            <w:pPr>
              <w:pStyle w:val="39"/>
              <w:spacing w:after="0" w:line="240" w:lineRule="auto"/>
              <w:ind w:left="0" w:leftChars="0" w:firstLine="0" w:firstLineChars="0"/>
              <w:jc w:val="right"/>
              <w:rPr>
                <w:rFonts w:ascii="Arial" w:hAnsi="Arial" w:cs="Arial"/>
              </w:rPr>
            </w:pPr>
          </w:p>
        </w:tc>
        <w:tc>
          <w:tcPr>
            <w:tcW w:w="623" w:type="pct"/>
            <w:tcMar>
              <w:top w:w="0" w:type="dxa"/>
              <w:left w:w="108" w:type="dxa"/>
              <w:bottom w:w="0" w:type="dxa"/>
              <w:right w:w="108" w:type="dxa"/>
            </w:tcMar>
            <w:vAlign w:val="center"/>
          </w:tcPr>
          <w:p w14:paraId="7808D4AC">
            <w:pPr>
              <w:pStyle w:val="39"/>
              <w:spacing w:after="0" w:line="240" w:lineRule="auto"/>
              <w:ind w:left="0" w:leftChars="0" w:firstLine="0" w:firstLineChars="0"/>
              <w:jc w:val="right"/>
              <w:rPr>
                <w:rFonts w:ascii="Arial" w:hAnsi="Arial" w:cs="Arial"/>
                <w:b/>
                <w:bCs/>
              </w:rPr>
            </w:pPr>
          </w:p>
        </w:tc>
      </w:tr>
      <w:tr w14:paraId="2D53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7FEBE31A">
            <w:pPr>
              <w:pStyle w:val="39"/>
              <w:ind w:left="0" w:leftChars="0" w:firstLine="0" w:firstLineChars="0"/>
              <w:jc w:val="center"/>
              <w:rPr>
                <w:rFonts w:ascii="Arial" w:hAnsi="Arial" w:cs="Arial"/>
                <w:b/>
              </w:rPr>
            </w:pPr>
            <w:r>
              <w:rPr>
                <w:rFonts w:ascii="Arial" w:hAnsi="Arial" w:cs="Arial"/>
                <w:b/>
              </w:rPr>
              <w:t>…</w:t>
            </w:r>
          </w:p>
        </w:tc>
        <w:tc>
          <w:tcPr>
            <w:tcW w:w="606" w:type="pct"/>
          </w:tcPr>
          <w:p w14:paraId="0BCCB66F">
            <w:pPr>
              <w:pStyle w:val="39"/>
              <w:ind w:left="0" w:leftChars="0" w:firstLine="0" w:firstLineChars="0"/>
              <w:jc w:val="both"/>
              <w:rPr>
                <w:rFonts w:ascii="Arial" w:hAnsi="Arial" w:cs="Arial"/>
              </w:rPr>
            </w:pPr>
          </w:p>
        </w:tc>
        <w:tc>
          <w:tcPr>
            <w:tcW w:w="1328" w:type="pct"/>
            <w:tcMar>
              <w:top w:w="0" w:type="dxa"/>
              <w:left w:w="108" w:type="dxa"/>
              <w:bottom w:w="0" w:type="dxa"/>
              <w:right w:w="108" w:type="dxa"/>
            </w:tcMar>
            <w:vAlign w:val="center"/>
          </w:tcPr>
          <w:p w14:paraId="5D57FC8F">
            <w:pPr>
              <w:pStyle w:val="39"/>
              <w:ind w:left="0" w:leftChars="0" w:firstLine="0" w:firstLineChars="0"/>
              <w:jc w:val="both"/>
              <w:rPr>
                <w:rFonts w:ascii="Arial" w:hAnsi="Arial" w:cs="Arial"/>
              </w:rPr>
            </w:pPr>
          </w:p>
        </w:tc>
        <w:tc>
          <w:tcPr>
            <w:tcW w:w="534" w:type="pct"/>
            <w:tcMar>
              <w:top w:w="0" w:type="dxa"/>
              <w:left w:w="108" w:type="dxa"/>
              <w:bottom w:w="0" w:type="dxa"/>
              <w:right w:w="108" w:type="dxa"/>
            </w:tcMar>
            <w:vAlign w:val="center"/>
          </w:tcPr>
          <w:p w14:paraId="5DEB96DA">
            <w:pPr>
              <w:pStyle w:val="39"/>
              <w:ind w:left="0" w:leftChars="0" w:firstLine="0" w:firstLineChars="0"/>
              <w:jc w:val="center"/>
              <w:rPr>
                <w:rFonts w:ascii="Arial" w:hAnsi="Arial" w:cs="Arial"/>
              </w:rPr>
            </w:pPr>
          </w:p>
        </w:tc>
        <w:tc>
          <w:tcPr>
            <w:tcW w:w="583" w:type="pct"/>
            <w:tcMar>
              <w:top w:w="0" w:type="dxa"/>
              <w:left w:w="108" w:type="dxa"/>
              <w:bottom w:w="0" w:type="dxa"/>
              <w:right w:w="108" w:type="dxa"/>
            </w:tcMar>
            <w:vAlign w:val="center"/>
          </w:tcPr>
          <w:p w14:paraId="70B102BF">
            <w:pPr>
              <w:pStyle w:val="39"/>
              <w:ind w:left="0" w:leftChars="0" w:firstLine="0" w:firstLineChars="0"/>
              <w:jc w:val="center"/>
              <w:rPr>
                <w:rFonts w:ascii="Arial" w:hAnsi="Arial" w:cs="Arial"/>
                <w:b/>
              </w:rPr>
            </w:pPr>
          </w:p>
        </w:tc>
        <w:tc>
          <w:tcPr>
            <w:tcW w:w="839" w:type="pct"/>
            <w:tcMar>
              <w:top w:w="0" w:type="dxa"/>
              <w:left w:w="108" w:type="dxa"/>
              <w:bottom w:w="0" w:type="dxa"/>
              <w:right w:w="108" w:type="dxa"/>
            </w:tcMar>
            <w:vAlign w:val="center"/>
          </w:tcPr>
          <w:p w14:paraId="77331A25">
            <w:pPr>
              <w:pStyle w:val="39"/>
              <w:spacing w:after="0" w:line="240" w:lineRule="auto"/>
              <w:ind w:left="0" w:leftChars="0" w:firstLine="0" w:firstLineChars="0"/>
              <w:jc w:val="right"/>
              <w:rPr>
                <w:rFonts w:ascii="Arial" w:hAnsi="Arial" w:cs="Arial"/>
              </w:rPr>
            </w:pPr>
          </w:p>
        </w:tc>
        <w:tc>
          <w:tcPr>
            <w:tcW w:w="623" w:type="pct"/>
            <w:tcMar>
              <w:top w:w="0" w:type="dxa"/>
              <w:left w:w="108" w:type="dxa"/>
              <w:bottom w:w="0" w:type="dxa"/>
              <w:right w:w="108" w:type="dxa"/>
            </w:tcMar>
            <w:vAlign w:val="center"/>
          </w:tcPr>
          <w:p w14:paraId="231F9993">
            <w:pPr>
              <w:pStyle w:val="39"/>
              <w:spacing w:after="0" w:line="240" w:lineRule="auto"/>
              <w:ind w:left="0" w:leftChars="0" w:firstLine="0" w:firstLineChars="0"/>
              <w:jc w:val="right"/>
              <w:rPr>
                <w:rFonts w:ascii="Arial" w:hAnsi="Arial" w:cs="Arial"/>
                <w:b/>
                <w:bCs/>
              </w:rPr>
            </w:pPr>
          </w:p>
        </w:tc>
      </w:tr>
    </w:tbl>
    <w:p w14:paraId="6CA60E0C">
      <w:pPr>
        <w:pStyle w:val="20"/>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iCs/>
        </w:rPr>
      </w:pPr>
      <w:r>
        <w:rPr>
          <w:rFonts w:ascii="Arial" w:hAnsi="Arial" w:cs="Arial"/>
          <w:iCs/>
        </w:rPr>
        <w:t>Vinculam esta contratação, independentemente de transcrição:</w:t>
      </w:r>
    </w:p>
    <w:p w14:paraId="5115B28C">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O Termo de Referência;</w:t>
      </w:r>
    </w:p>
    <w:p w14:paraId="49952700">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O Edital da Licitação;</w:t>
      </w:r>
    </w:p>
    <w:p w14:paraId="1176A76C">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A Proposta do contratado;</w:t>
      </w:r>
    </w:p>
    <w:p w14:paraId="79E5B887">
      <w:pPr>
        <w:pStyle w:val="20"/>
        <w:widowControl/>
        <w:numPr>
          <w:ilvl w:val="2"/>
          <w:numId w:val="3"/>
        </w:numPr>
        <w:tabs>
          <w:tab w:val="left" w:pos="426"/>
        </w:tabs>
        <w:autoSpaceDE/>
        <w:autoSpaceDN/>
        <w:spacing w:before="120" w:after="120" w:line="276" w:lineRule="auto"/>
        <w:ind w:left="0" w:leftChars="0" w:firstLine="0" w:firstLineChars="0"/>
        <w:jc w:val="both"/>
        <w:rPr>
          <w:rFonts w:ascii="Arial" w:hAnsi="Arial" w:cs="Arial"/>
          <w:bCs/>
        </w:rPr>
      </w:pPr>
      <w:r>
        <w:rPr>
          <w:rFonts w:ascii="Arial" w:hAnsi="Arial" w:cs="Arial"/>
          <w:bCs/>
        </w:rPr>
        <w:t>Eventuais anexos dos documentos supracitados.</w:t>
      </w:r>
    </w:p>
    <w:p w14:paraId="080D9256">
      <w:pPr>
        <w:pStyle w:val="20"/>
        <w:widowControl/>
        <w:tabs>
          <w:tab w:val="left" w:pos="426"/>
        </w:tabs>
        <w:autoSpaceDE/>
        <w:autoSpaceDN/>
        <w:spacing w:before="120" w:after="120" w:line="276" w:lineRule="auto"/>
        <w:ind w:left="862"/>
        <w:jc w:val="both"/>
        <w:rPr>
          <w:rFonts w:ascii="Arial" w:hAnsi="Arial" w:cs="Arial"/>
          <w:bCs/>
        </w:rPr>
      </w:pPr>
    </w:p>
    <w:p w14:paraId="61C20289">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E23373D">
      <w:pPr>
        <w:pStyle w:val="20"/>
        <w:widowControl/>
        <w:tabs>
          <w:tab w:val="left" w:pos="426"/>
        </w:tabs>
        <w:autoSpaceDE/>
        <w:autoSpaceDN/>
        <w:spacing w:before="120" w:after="120" w:line="276" w:lineRule="auto"/>
        <w:ind w:left="0"/>
        <w:jc w:val="both"/>
        <w:rPr>
          <w:rFonts w:hint="default" w:ascii="Arial" w:hAnsi="Arial" w:cs="Arial"/>
          <w:bCs/>
          <w:iCs/>
          <w:color w:val="auto"/>
          <w:lang w:val="pt-BR"/>
        </w:rPr>
      </w:pPr>
      <w:r>
        <w:rPr>
          <w:rFonts w:hint="default" w:ascii="Arial" w:hAnsi="Arial" w:cs="Arial"/>
          <w:bCs/>
          <w:iCs/>
          <w:color w:val="auto"/>
          <w:lang w:val="pt-BR"/>
        </w:rPr>
        <w:t xml:space="preserve">2.1 O prazo de vigência da contratação é de .............................. contados do(a) ............................., prorrogável por até 10 anos, na forma dos </w:t>
      </w:r>
      <w:r>
        <w:rPr>
          <w:rFonts w:hint="default" w:ascii="Arial" w:hAnsi="Arial" w:cs="Arial"/>
          <w:bCs/>
          <w:iCs/>
          <w:color w:val="auto"/>
          <w:lang w:val="pt-BR"/>
        </w:rPr>
        <w:fldChar w:fldCharType="begin"/>
      </w:r>
      <w:r>
        <w:rPr>
          <w:rFonts w:hint="default" w:ascii="Arial" w:hAnsi="Arial" w:cs="Arial"/>
          <w:bCs/>
          <w:iCs/>
          <w:color w:val="auto"/>
          <w:lang w:val="pt-BR"/>
        </w:rPr>
        <w:instrText xml:space="preserve"> HYPERLINK "http://www.planalto.gov.br/ccivil_03/_ato2019-2022/2021/lei/L14133.htm" \l "art106" </w:instrText>
      </w:r>
      <w:r>
        <w:rPr>
          <w:rFonts w:hint="default" w:ascii="Arial" w:hAnsi="Arial" w:cs="Arial"/>
          <w:bCs/>
          <w:iCs/>
          <w:color w:val="auto"/>
          <w:lang w:val="pt-BR"/>
        </w:rPr>
        <w:fldChar w:fldCharType="separate"/>
      </w:r>
      <w:r>
        <w:rPr>
          <w:rFonts w:hint="default" w:ascii="Arial" w:hAnsi="Arial" w:cs="Arial"/>
          <w:bCs/>
          <w:iCs/>
          <w:color w:val="auto"/>
          <w:lang w:val="pt-BR"/>
        </w:rPr>
        <w:t>artigos 106 e 107 da Lei n° 14.133, de 2021</w:t>
      </w:r>
      <w:r>
        <w:rPr>
          <w:rFonts w:hint="default" w:ascii="Arial" w:hAnsi="Arial" w:cs="Arial"/>
          <w:bCs/>
          <w:iCs/>
          <w:color w:val="auto"/>
          <w:lang w:val="pt-BR"/>
        </w:rPr>
        <w:fldChar w:fldCharType="end"/>
      </w:r>
      <w:r>
        <w:rPr>
          <w:rFonts w:hint="default" w:ascii="Arial" w:hAnsi="Arial" w:cs="Arial"/>
          <w:bCs/>
          <w:iCs/>
          <w:color w:val="auto"/>
          <w:lang w:val="pt-BR"/>
        </w:rPr>
        <w:t xml:space="preserve">. </w:t>
      </w:r>
    </w:p>
    <w:p w14:paraId="6129F9FE">
      <w:pPr>
        <w:pStyle w:val="20"/>
        <w:widowControl/>
        <w:tabs>
          <w:tab w:val="left" w:pos="426"/>
        </w:tabs>
        <w:autoSpaceDE/>
        <w:autoSpaceDN/>
        <w:spacing w:before="120" w:after="120" w:line="276" w:lineRule="auto"/>
        <w:ind w:left="0"/>
        <w:jc w:val="both"/>
        <w:rPr>
          <w:rFonts w:hint="default" w:ascii="Arial" w:hAnsi="Arial" w:cs="Arial"/>
          <w:bCs/>
          <w:iCs/>
          <w:color w:val="auto"/>
          <w:lang w:val="pt-BR"/>
        </w:rPr>
      </w:pPr>
      <w:r>
        <w:rPr>
          <w:rFonts w:hint="default" w:ascii="Arial" w:hAnsi="Arial" w:cs="Arial"/>
          <w:bCs/>
          <w:iCs/>
          <w:color w:val="auto"/>
          <w:lang w:val="pt-BR"/>
        </w:rPr>
        <w:t>2.2 A prorrogação de que trata este item é condicionada ao ateste, pela autoridade competente, de que as condições e os preços permanecem vantajosos para a Administração, permitida a negociação com o contratado.</w:t>
      </w:r>
    </w:p>
    <w:p w14:paraId="30552DEB">
      <w:pPr>
        <w:pStyle w:val="20"/>
        <w:widowControl/>
        <w:tabs>
          <w:tab w:val="left" w:pos="426"/>
        </w:tabs>
        <w:autoSpaceDE/>
        <w:autoSpaceDN/>
        <w:spacing w:before="120" w:after="120" w:line="276" w:lineRule="auto"/>
        <w:ind w:left="0"/>
        <w:jc w:val="both"/>
        <w:rPr>
          <w:rFonts w:hint="default" w:ascii="Arial" w:hAnsi="Arial" w:cs="Arial"/>
          <w:bCs/>
          <w:iCs/>
          <w:color w:val="auto"/>
          <w:lang w:val="pt-BR"/>
        </w:rPr>
      </w:pPr>
      <w:r>
        <w:rPr>
          <w:rFonts w:hint="default" w:ascii="Arial" w:hAnsi="Arial" w:cs="Arial"/>
          <w:bCs/>
          <w:iCs/>
          <w:color w:val="auto"/>
          <w:lang w:val="pt-BR"/>
        </w:rPr>
        <w:t>2.3 O contratado não tem direito subjetivo à prorrogação contratual.</w:t>
      </w:r>
    </w:p>
    <w:p w14:paraId="0853C1C7">
      <w:pPr>
        <w:pStyle w:val="20"/>
        <w:widowControl/>
        <w:tabs>
          <w:tab w:val="left" w:pos="426"/>
        </w:tabs>
        <w:autoSpaceDE/>
        <w:autoSpaceDN/>
        <w:spacing w:before="120" w:after="120" w:line="276" w:lineRule="auto"/>
        <w:ind w:left="0"/>
        <w:jc w:val="both"/>
        <w:rPr>
          <w:rFonts w:hint="default" w:ascii="Arial" w:hAnsi="Arial" w:cs="Arial"/>
          <w:bCs/>
          <w:iCs/>
          <w:color w:val="auto"/>
          <w:lang w:val="pt-BR"/>
        </w:rPr>
      </w:pPr>
      <w:r>
        <w:rPr>
          <w:rFonts w:hint="default" w:ascii="Arial" w:hAnsi="Arial" w:cs="Arial"/>
          <w:bCs/>
          <w:iCs/>
          <w:color w:val="auto"/>
          <w:lang w:val="pt-BR"/>
        </w:rPr>
        <w:t>2.4 A prorrogação de contrato deverá ser promovida mediante celebração de termo aditivo.</w:t>
      </w:r>
    </w:p>
    <w:p w14:paraId="687AB39C">
      <w:pPr>
        <w:pStyle w:val="20"/>
        <w:widowControl/>
        <w:tabs>
          <w:tab w:val="left" w:pos="426"/>
        </w:tabs>
        <w:autoSpaceDE/>
        <w:autoSpaceDN/>
        <w:spacing w:before="120" w:after="120" w:line="276" w:lineRule="auto"/>
        <w:ind w:left="0"/>
        <w:jc w:val="both"/>
        <w:rPr>
          <w:rFonts w:hint="default" w:ascii="Arial" w:hAnsi="Arial" w:cs="Arial"/>
          <w:bCs/>
          <w:iCs/>
          <w:color w:val="auto"/>
          <w:lang w:val="pt-BR"/>
        </w:rPr>
      </w:pPr>
      <w:r>
        <w:rPr>
          <w:rFonts w:hint="default" w:ascii="Arial" w:hAnsi="Arial" w:cs="Arial"/>
          <w:bCs/>
          <w:iCs/>
          <w:color w:val="auto"/>
          <w:lang w:val="pt-BR"/>
        </w:rPr>
        <w:t>2.5 O contrato não poderá ser prorrogado quando o contratado tiver sido penalizado nas sanções de declaração de inidoneidade ou impedimento de licitar e contratar com poder público, observadas as abrangências de aplicação.</w:t>
      </w:r>
    </w:p>
    <w:p w14:paraId="34353E18">
      <w:pPr>
        <w:pStyle w:val="20"/>
        <w:widowControl/>
        <w:tabs>
          <w:tab w:val="left" w:pos="426"/>
        </w:tabs>
        <w:autoSpaceDE/>
        <w:autoSpaceDN/>
        <w:spacing w:before="120" w:after="120" w:line="276" w:lineRule="auto"/>
        <w:ind w:left="0"/>
        <w:jc w:val="both"/>
        <w:rPr>
          <w:rFonts w:hint="default" w:ascii="Arial" w:hAnsi="Arial" w:cs="Arial"/>
          <w:bCs/>
          <w:iCs/>
          <w:color w:val="FF0000"/>
          <w:lang w:val="pt-BR"/>
        </w:rPr>
      </w:pPr>
    </w:p>
    <w:p w14:paraId="715F1419">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1B850E5A">
      <w:pPr>
        <w:pStyle w:val="20"/>
        <w:numPr>
          <w:ilvl w:val="0"/>
          <w:numId w:val="0"/>
        </w:numPr>
        <w:tabs>
          <w:tab w:val="left" w:pos="284"/>
        </w:tabs>
        <w:spacing w:line="276" w:lineRule="auto"/>
        <w:ind w:leftChars="0"/>
        <w:jc w:val="both"/>
        <w:rPr>
          <w:rFonts w:ascii="Arial" w:hAnsi="Arial" w:cs="Arial"/>
          <w:bCs/>
          <w:iCs/>
          <w:color w:val="auto"/>
          <w:u w:val="single"/>
        </w:rPr>
      </w:pPr>
      <w:r>
        <w:rPr>
          <w:rFonts w:hint="default" w:ascii="Arial" w:hAnsi="Arial" w:cs="Arial" w:eastAsiaTheme="majorEastAsia"/>
          <w:b/>
          <w:bCs/>
          <w:lang w:val="en-US" w:eastAsia="pt-BR"/>
        </w:rPr>
        <w:t xml:space="preserve"> </w:t>
      </w:r>
      <w:r>
        <w:rPr>
          <w:rFonts w:hint="default" w:ascii="Arial" w:hAnsi="Arial" w:cs="Arial"/>
          <w:bCs/>
          <w:iCs/>
          <w:color w:val="auto"/>
          <w:u w:val="single"/>
          <w:lang w:val="pt-BR"/>
        </w:rPr>
        <w:t xml:space="preserve">3.1 </w:t>
      </w:r>
      <w:r>
        <w:rPr>
          <w:rFonts w:ascii="Arial" w:hAnsi="Arial" w:cs="Arial"/>
          <w:bCs/>
          <w:iCs/>
          <w:color w:val="auto"/>
          <w:u w:val="single"/>
        </w:rPr>
        <w:t>MODELO DE EXECUÇÃO DO OBJETO (arts. 6º, XXIII, alínea “e” e 40, §1º, inciso II, da Lei nº 14.133/2021)</w:t>
      </w:r>
    </w:p>
    <w:p w14:paraId="03313054">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3.1.1 </w:t>
      </w:r>
      <w:r>
        <w:rPr>
          <w:rFonts w:ascii="Arial" w:hAnsi="Arial" w:cs="Arial"/>
          <w:bCs/>
          <w:iCs/>
          <w:color w:val="auto"/>
        </w:rPr>
        <w:t>A execução do objeto ocorrerá por meio de Pregão Eletrônico, na forma do art. 28, I, da Lei nª 14.133/2021, sob o Sistema de Registro de Preço (SRP), conforme arts. 82 a 86 da mesma lei. A ata de Registro de Preços terá Vigência de 1 (um) ano, prorrogável na forma da legislação, sendo as aquisições realizadas sob demanda, mediante emissão de notas de Empenho específicas.</w:t>
      </w:r>
    </w:p>
    <w:p w14:paraId="0BEBDF48">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3.1.2 </w:t>
      </w:r>
      <w:r>
        <w:rPr>
          <w:rFonts w:ascii="Arial" w:hAnsi="Arial" w:cs="Arial"/>
          <w:bCs/>
          <w:iCs/>
          <w:color w:val="auto"/>
        </w:rPr>
        <w:t>Em relação ao local de entrega, a contratada entregará os equipamentos nas unidades indicadas, em dias úteis, conforme a lista a seguir, constante neste documento de Termo de Referência</w:t>
      </w:r>
    </w:p>
    <w:p w14:paraId="1C670D92">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3.1.3</w:t>
      </w:r>
      <w:r>
        <w:rPr>
          <w:rFonts w:ascii="Arial" w:hAnsi="Arial" w:cs="Arial"/>
          <w:bCs/>
          <w:iCs/>
          <w:color w:val="auto"/>
        </w:rPr>
        <w:t xml:space="preserve">  LISTA DE ENDEREÇOS DAS UNIDADES DE SAÚDE COM CONSULTÓRIO ODONTOLÓGICO</w:t>
      </w:r>
    </w:p>
    <w:p w14:paraId="2C84B0D6">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CPMNF – Consultório Odontológico da Prefeitura Municipal de Nova Friburgo – Localizado no pátio interno da Prefeitura – End.: Avenida Alberto Braune, n° 225, Centro - Nova Friburgo/RJ – CEP 28.613-001.</w:t>
      </w:r>
    </w:p>
    <w:p w14:paraId="77F5179B">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 UNIDADES DE ESTRATÉGIA DE SAÚDE DA FAMÍLIA</w:t>
      </w:r>
    </w:p>
    <w:p w14:paraId="4A68FB9B">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Amparo – Rua Raul Rivail Gripp, s/n°, Amparo - Nova Friburgo/RJ – CEP 28.605-575.</w:t>
      </w:r>
    </w:p>
    <w:p w14:paraId="363AC303">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Nova Suíça – Rua Moisés Moraes Filho s/n°, Nova Suíça – CEP 28.605-736.</w:t>
      </w:r>
    </w:p>
    <w:p w14:paraId="1F2C5765">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Campo do Coelho – Rua Jones Mendes Muniz s/n°, Campo do Coelho – Nova Friburgo/RJ - CEP 28.630-595.</w:t>
      </w:r>
    </w:p>
    <w:p w14:paraId="66AA2EA8">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Centenário – Rua João Cabral Sobrinho, s/n°, Conquista – Nova Friburgo/RJ – CEP 28.630-560.</w:t>
      </w:r>
    </w:p>
    <w:p w14:paraId="015544BF">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Lumiar – Rua Guilherme Eugênio Spitz, s/n°, Lumiar – Nova Friburgo/RJ – CEP 28.616-970.</w:t>
      </w:r>
    </w:p>
    <w:p w14:paraId="79151DEE">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Mury – Avenida Hamburgo, s/n°, Mury - Nova Friburgo/RJ - CEP 28.630-213.</w:t>
      </w:r>
    </w:p>
    <w:p w14:paraId="32B43FFB">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 – Rua Xingú, n° 89, Alto de Olaria - Nova Friburgo/RJ – CEP 28.620-310.</w:t>
      </w:r>
    </w:p>
    <w:p w14:paraId="7F2CDD7D">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II – Rua Espírito Santo, n° 9, Olaria – Nova Friburgo/RJ – CEP 28.623-360.</w:t>
      </w:r>
    </w:p>
    <w:p w14:paraId="4C102014">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III – Rua Augusto Nicolau Rodrigues, n° 59, Olaria – Nova Friburgo/RJ – CEP 28.620-107.</w:t>
      </w:r>
    </w:p>
    <w:p w14:paraId="4127148E">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Riograndina – Praça Nossa Senhora do Rosário, s/ n°, Riograndina – Nova Friburgo/RJ - CEP 28.634-485.</w:t>
      </w:r>
    </w:p>
    <w:p w14:paraId="2270D6B0">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Geraldo – Rua Antônio Augusto dos Reis Jr, s/ n°, São Geraldo - Nova Friburgo/RJ - CEP 28.630-455.</w:t>
      </w:r>
    </w:p>
    <w:p w14:paraId="58F2DFD3">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Lourenço - Estrada de São Lourenço, s/n°, Conquista – Nova Friburgo/RJ – CEP 28.630-991.</w:t>
      </w:r>
    </w:p>
    <w:p w14:paraId="7504FF04">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Pedro da Serra – Rua Rodrigues Alves, s/n°, São Pedro da Serra – Nova Friburgo/RJ – CEP 28.616-155.</w:t>
      </w:r>
    </w:p>
    <w:p w14:paraId="6CCEF1A2">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Vargem Alta – Estrada João Heringer, s/n°, Vargem Alta - Nova Friburgo/RJ – CEP 28.616-055.</w:t>
      </w:r>
    </w:p>
    <w:p w14:paraId="52DF7922">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Varginha – Rua Francisco Lopes, n° 178, Varginha – Nova Friburgo/RJ – CEP 28.616-200.</w:t>
      </w:r>
    </w:p>
    <w:p w14:paraId="7B841F48">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 UNIDADES BÁSICAS DE SAÚDE</w:t>
      </w:r>
    </w:p>
    <w:p w14:paraId="50ABD6B9">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Ariosto Bento de Melo – Rua Darcília dos Santos, s/n°, Cordoeira - Nova Friburgo/RJ – CEP 28613-750.</w:t>
      </w:r>
    </w:p>
    <w:p w14:paraId="252675AB">
      <w:pPr>
        <w:pStyle w:val="20"/>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Waldir Costa - Rua José Ernesto Knust, n° 184, Conselheiro Paulino - Nova Friburgo/RJ – CEP 28635-495.</w:t>
      </w:r>
    </w:p>
    <w:p w14:paraId="7AAB038D">
      <w:pPr>
        <w:pStyle w:val="20"/>
        <w:widowControl/>
        <w:numPr>
          <w:ilvl w:val="0"/>
          <w:numId w:val="0"/>
        </w:numPr>
        <w:tabs>
          <w:tab w:val="left" w:pos="426"/>
        </w:tabs>
        <w:autoSpaceDE/>
        <w:autoSpaceDN/>
        <w:spacing w:before="120" w:after="120" w:line="276" w:lineRule="auto"/>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Dr. Sylvio Henrique Braune – Rua Plínio Casado, s/n°, Vila Amélia - Nova Friburgo/RJ – CEP 28610-000.</w:t>
      </w:r>
    </w:p>
    <w:p w14:paraId="0B59AD35">
      <w:pPr>
        <w:pStyle w:val="20"/>
        <w:widowControl/>
        <w:numPr>
          <w:ilvl w:val="0"/>
          <w:numId w:val="0"/>
        </w:numPr>
        <w:tabs>
          <w:tab w:val="left" w:pos="426"/>
        </w:tabs>
        <w:autoSpaceDE/>
        <w:autoSpaceDN/>
        <w:spacing w:before="120" w:after="120" w:line="276" w:lineRule="auto"/>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Dr. Tunney Kassuga – Rua Vicente Sobrinho, s/n°, Olaria - Nova Friburgo/RJ – CEP 28623-400.</w:t>
      </w:r>
    </w:p>
    <w:p w14:paraId="019CF7D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CEO – Centro de Especialidades Odontológicas – Rua Júlio Antônio Thurler, 115, Olaria – Nova Friburgo/RJ – CEP 28.620-000.</w:t>
      </w:r>
    </w:p>
    <w:p w14:paraId="0E8C476B">
      <w:pPr>
        <w:pStyle w:val="20"/>
        <w:widowControl/>
        <w:numPr>
          <w:ilvl w:val="0"/>
          <w:numId w:val="0"/>
        </w:numPr>
        <w:tabs>
          <w:tab w:val="left" w:pos="426"/>
        </w:tabs>
        <w:autoSpaceDE/>
        <w:autoSpaceDN/>
        <w:spacing w:before="120" w:after="120" w:line="276" w:lineRule="auto"/>
        <w:ind w:left="220" w:leftChars="0"/>
        <w:jc w:val="both"/>
        <w:rPr>
          <w:rFonts w:ascii="Arial" w:hAnsi="Arial" w:cs="Arial"/>
          <w:b/>
          <w:bCs w:val="0"/>
          <w:iCs/>
          <w:color w:val="auto"/>
        </w:rPr>
      </w:pPr>
      <w:r>
        <w:rPr>
          <w:rFonts w:hint="default" w:ascii="Arial" w:hAnsi="Arial" w:cs="Arial"/>
          <w:b/>
          <w:bCs w:val="0"/>
          <w:iCs/>
          <w:color w:val="auto"/>
          <w:lang w:val="pt-BR"/>
        </w:rPr>
        <w:t xml:space="preserve">3.1.4 </w:t>
      </w:r>
      <w:r>
        <w:rPr>
          <w:rFonts w:ascii="Arial" w:hAnsi="Arial" w:cs="Arial"/>
          <w:b/>
          <w:bCs w:val="0"/>
          <w:iCs/>
          <w:color w:val="auto"/>
        </w:rPr>
        <w:t>O horário disponível para entrega em todos os endereços acima é de segunda-feira a sexta-feira, das 09:00h às 15:30h.</w:t>
      </w:r>
    </w:p>
    <w:p w14:paraId="002D22A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6CC85DD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 xml:space="preserve">3.1.5 </w:t>
      </w:r>
      <w:r>
        <w:rPr>
          <w:rFonts w:ascii="Arial" w:hAnsi="Arial" w:cs="Arial"/>
          <w:bCs/>
          <w:iCs/>
          <w:color w:val="auto"/>
        </w:rPr>
        <w:tab/>
      </w:r>
      <w:r>
        <w:rPr>
          <w:rFonts w:ascii="Arial" w:hAnsi="Arial" w:cs="Arial"/>
          <w:bCs/>
          <w:iCs/>
          <w:color w:val="auto"/>
        </w:rPr>
        <w:t>LISTA DOS ITENS PARA O RECEBIMENTO, INSPEÇÃO E INSTALAÇÃO TÉCNICA NO LOCAL DE ENTREGA:</w:t>
      </w:r>
    </w:p>
    <w:p w14:paraId="28A9684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 xml:space="preserve">Item 08 – </w:t>
      </w:r>
      <w:r>
        <w:rPr>
          <w:rFonts w:ascii="Arial" w:hAnsi="Arial" w:cs="Arial"/>
          <w:b/>
          <w:bCs w:val="0"/>
          <w:iCs/>
          <w:color w:val="auto"/>
        </w:rPr>
        <w:t>Consultório Odontológico Completo</w:t>
      </w:r>
      <w:r>
        <w:rPr>
          <w:rFonts w:ascii="Arial" w:hAnsi="Arial" w:cs="Arial"/>
          <w:bCs/>
          <w:iCs/>
          <w:color w:val="auto"/>
        </w:rPr>
        <w:t xml:space="preserve"> (19 unidades)</w:t>
      </w:r>
    </w:p>
    <w:p w14:paraId="60F54C5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ESF (01 unidade em cada – consultar lista de endereços):</w:t>
      </w:r>
    </w:p>
    <w:p w14:paraId="2910464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Mury</w:t>
      </w:r>
    </w:p>
    <w:p w14:paraId="6E16D85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w:t>
      </w:r>
    </w:p>
    <w:p w14:paraId="0EB0EAC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Olaria III</w:t>
      </w:r>
    </w:p>
    <w:p w14:paraId="1FFD53A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Riograndina</w:t>
      </w:r>
    </w:p>
    <w:p w14:paraId="508DBE1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São Geraldo</w:t>
      </w:r>
    </w:p>
    <w:p w14:paraId="179776B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ESF Vargem Alta</w:t>
      </w:r>
    </w:p>
    <w:p w14:paraId="05C43EC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em cada ESF – Chefia da Unidade - Odontólogo e ASB</w:t>
      </w:r>
    </w:p>
    <w:p w14:paraId="19B7A9E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4066C5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UBS (consultar lista de endereços):</w:t>
      </w:r>
    </w:p>
    <w:p w14:paraId="2462F8C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Dr. Sylvio Henrique Braune (02 unidades)</w:t>
      </w:r>
    </w:p>
    <w:p w14:paraId="6831354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Tunney Kassuga (02 unidades)</w:t>
      </w:r>
    </w:p>
    <w:p w14:paraId="7D487A4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Ariosto Bento de Melo (01 unidade)</w:t>
      </w:r>
    </w:p>
    <w:p w14:paraId="4D0281E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UBS Waldyr Costa (01 unidade)</w:t>
      </w:r>
    </w:p>
    <w:p w14:paraId="105DFC9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em cada UBS – Chefia da Unidade - Odontólogo e ASB</w:t>
      </w:r>
    </w:p>
    <w:p w14:paraId="4D4BD8F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666A004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14:paraId="4AE5D32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no consultório: Regiana ou Sônia</w:t>
      </w:r>
    </w:p>
    <w:p w14:paraId="6C0DFB2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18E6DE0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no CEO (consultar lista de endereços)</w:t>
      </w:r>
    </w:p>
    <w:p w14:paraId="3232BAF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Geral – Luciane Boechat</w:t>
      </w:r>
    </w:p>
    <w:p w14:paraId="2DFD807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1A1E6BD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25 – Aparelho Raios X Odontológico (04 unidades)</w:t>
      </w:r>
    </w:p>
    <w:p w14:paraId="0D872EB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Entrega de todos os aparelhos no CEO (consultar lista de endereços)</w:t>
      </w:r>
    </w:p>
    <w:p w14:paraId="0DEBA1A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w:t>
      </w:r>
      <w:r>
        <w:rPr>
          <w:rFonts w:ascii="Arial" w:hAnsi="Arial" w:cs="Arial"/>
          <w:bCs/>
          <w:iCs/>
          <w:color w:val="auto"/>
        </w:rPr>
        <w:t>Responsável Geral – Luciane Boechat</w:t>
      </w:r>
    </w:p>
    <w:p w14:paraId="6395498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9D9E02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3.1.6</w:t>
      </w:r>
      <w:r>
        <w:rPr>
          <w:rFonts w:ascii="Arial" w:hAnsi="Arial" w:cs="Arial"/>
          <w:bCs/>
          <w:iCs/>
          <w:color w:val="auto"/>
        </w:rPr>
        <w:t xml:space="preserve"> RELAÇÃO DOS ITENS PARA RECEBIMENTO E INSPEÇÃO DE CONFORMIDADE - ENTREGA EM LOCAL ÚNICO</w:t>
      </w:r>
    </w:p>
    <w:p w14:paraId="2AF7526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76FAF3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01 – Aparelho Fotopolimerizador (28 unidades)</w:t>
      </w:r>
    </w:p>
    <w:p w14:paraId="16A9F9D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52DF29E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390B62E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A49B4B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03 – Kit Acadêmico (28 unidades)</w:t>
      </w:r>
    </w:p>
    <w:p w14:paraId="3B3E8BF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3F370FC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559D5D8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4326E9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05 – Caneta de Alta Rotação (112 unidades)</w:t>
      </w:r>
    </w:p>
    <w:p w14:paraId="7A7228E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63964B8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18178CA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3097EB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09 – Motor de Bancada (04 unidades)</w:t>
      </w:r>
    </w:p>
    <w:p w14:paraId="32CD4F4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288A5CB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31CB44D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7530977">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12 – Caixa Reveladora de Raios X (03 unidades)</w:t>
      </w:r>
    </w:p>
    <w:p w14:paraId="05FB2BF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4B3FD87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24ECDBB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 xml:space="preserve"> </w:t>
      </w:r>
    </w:p>
    <w:p w14:paraId="0C399B0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5255422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13 – Negatoscópio (06 unidades)</w:t>
      </w:r>
    </w:p>
    <w:p w14:paraId="748AF48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06703E7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77D7ED4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17528ED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14 – Aparelho de Laserterapia (01 unidade)</w:t>
      </w:r>
    </w:p>
    <w:p w14:paraId="7584CC6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4964061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53ED8FF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4B62D52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15 – Avental de Chumbo Infantil (02 unidades)</w:t>
      </w:r>
    </w:p>
    <w:p w14:paraId="31EA3A4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34BF95B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4E626F3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8C2958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16 – Avental de Chumbo Adulto (02 unidades)</w:t>
      </w:r>
    </w:p>
    <w:p w14:paraId="6170128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03C9FEB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1FB20F4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E44EE4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17 – Protetor de Tireoide Infantil (02 unidades)</w:t>
      </w:r>
    </w:p>
    <w:p w14:paraId="4E2A4B3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606B6BA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7A1491D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1530B14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18 - Protetor de Tireoide Adulto (02 unidades)</w:t>
      </w:r>
    </w:p>
    <w:p w14:paraId="7303D6D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04FB89D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2F8286C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31F56A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19 – Contra-ângulo (28 unidades)</w:t>
      </w:r>
    </w:p>
    <w:p w14:paraId="5A67A7F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6D9F06C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2A07259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891A6C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20 – Micro Motor (28 unidades)</w:t>
      </w:r>
    </w:p>
    <w:p w14:paraId="452B13F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3776A33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6A17710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4AE45E6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21 – Localizador Apical Endodôntico (01 unidade)</w:t>
      </w:r>
    </w:p>
    <w:p w14:paraId="271D0F0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3C23A65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374C23F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5681158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22 – Cuba Ultrassônica (01 unidade)</w:t>
      </w:r>
    </w:p>
    <w:p w14:paraId="03614FE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7D06CD8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149D9BB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D8F92F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23 – Fotóforo com Lupa para Uso em Procedimentos Odontológicos (06 unidades)</w:t>
      </w:r>
    </w:p>
    <w:p w14:paraId="58E34827">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63B1718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5245BE0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 xml:space="preserve"> </w:t>
      </w:r>
    </w:p>
    <w:p w14:paraId="04FC1A0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24 – Motor para Endodontia (01 unidade)</w:t>
      </w:r>
    </w:p>
    <w:p w14:paraId="7741A75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76E5062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2057E30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4230AD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27 – Assento Odontopediátrico (01 unidade)</w:t>
      </w:r>
    </w:p>
    <w:p w14:paraId="2376F52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CPMNF (consultar lista de endereços)</w:t>
      </w:r>
    </w:p>
    <w:p w14:paraId="312272D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no consultório: Regiana ou Sônia</w:t>
      </w:r>
    </w:p>
    <w:p w14:paraId="45BFC87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10BAFFE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w:t>
      </w:r>
      <w:r>
        <w:rPr>
          <w:rFonts w:ascii="Arial" w:hAnsi="Arial" w:cs="Arial"/>
          <w:bCs/>
          <w:iCs/>
          <w:color w:val="auto"/>
        </w:rPr>
        <w:tab/>
      </w:r>
      <w:r>
        <w:rPr>
          <w:rFonts w:ascii="Arial" w:hAnsi="Arial" w:cs="Arial"/>
          <w:bCs/>
          <w:iCs/>
          <w:color w:val="auto"/>
        </w:rPr>
        <w:t>Item 28 – Kart Clínico (06 unidades)</w:t>
      </w:r>
    </w:p>
    <w:p w14:paraId="7EC54C9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Local: CEO (consultar lista de endereços)</w:t>
      </w:r>
    </w:p>
    <w:p w14:paraId="4EC729C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o</w:t>
      </w:r>
      <w:r>
        <w:rPr>
          <w:rFonts w:ascii="Arial" w:hAnsi="Arial" w:cs="Arial"/>
          <w:bCs/>
          <w:iCs/>
          <w:color w:val="auto"/>
        </w:rPr>
        <w:tab/>
      </w:r>
      <w:r>
        <w:rPr>
          <w:rFonts w:ascii="Arial" w:hAnsi="Arial" w:cs="Arial"/>
          <w:bCs/>
          <w:iCs/>
          <w:color w:val="auto"/>
        </w:rPr>
        <w:t>Responsável Geral – Luciane Boechat (tel.: 22-99961-0823)</w:t>
      </w:r>
    </w:p>
    <w:p w14:paraId="5C890E3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11D916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hint="default" w:ascii="Arial" w:hAnsi="Arial" w:cs="Arial"/>
          <w:bCs/>
          <w:iCs/>
          <w:color w:val="auto"/>
          <w:lang w:val="pt-BR"/>
        </w:rPr>
        <w:t xml:space="preserve">3.1.7 </w:t>
      </w:r>
      <w:r>
        <w:rPr>
          <w:rFonts w:ascii="Arial" w:hAnsi="Arial" w:cs="Arial"/>
          <w:bCs/>
          <w:iCs/>
          <w:color w:val="auto"/>
        </w:rPr>
        <w:tab/>
      </w:r>
      <w:r>
        <w:rPr>
          <w:rFonts w:ascii="Arial" w:hAnsi="Arial" w:cs="Arial"/>
          <w:bCs/>
          <w:iCs/>
          <w:color w:val="auto"/>
        </w:rPr>
        <w:t>RELAÇÃO DOS ITENS PARA RECEBIMENTO E INSPEÇÃO DE CONFORMIDADE - ENTREGA EM LOCAL DISTRIBUÍDO</w:t>
      </w:r>
    </w:p>
    <w:p w14:paraId="2F4E8AB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02 – Seladora (23 unidades)</w:t>
      </w:r>
    </w:p>
    <w:p w14:paraId="6460E53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15 unidades: entrega nas 15 ESF (01 unidade em cada – Consultar lista de endereços).</w:t>
      </w:r>
    </w:p>
    <w:p w14:paraId="500CA08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14:paraId="14E05C4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4D98B3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08 unidades: entrega no CEO (consultar lista de endereços)</w:t>
      </w:r>
    </w:p>
    <w:p w14:paraId="44BF72A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239205C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524BDAF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04 – Autoclave (13 unidades)</w:t>
      </w:r>
    </w:p>
    <w:p w14:paraId="796B11A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nas ESF (01 unidade em cada – consultar lista de endereços):</w:t>
      </w:r>
    </w:p>
    <w:p w14:paraId="1540ACD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Amparo</w:t>
      </w:r>
    </w:p>
    <w:p w14:paraId="3E8DCB9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Centenário</w:t>
      </w:r>
    </w:p>
    <w:p w14:paraId="304CDAA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São Lourenço</w:t>
      </w:r>
    </w:p>
    <w:p w14:paraId="39CFF4A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Varginha</w:t>
      </w:r>
    </w:p>
    <w:p w14:paraId="5232785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14:paraId="7415B05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4C51BC4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14:paraId="2926127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14:paraId="442DB5B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45145E3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08 unidades: entrega no CEO (consultar lista de endereços)</w:t>
      </w:r>
    </w:p>
    <w:p w14:paraId="7DDEB38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42EF0AF7">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31144BB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06 – Compressor Odontológico (15 unidades)</w:t>
      </w:r>
    </w:p>
    <w:p w14:paraId="2E93465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nas ESF (01 unidade em cada - consultar lista de endereços):</w:t>
      </w:r>
    </w:p>
    <w:p w14:paraId="783E1C1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Amparo</w:t>
      </w:r>
    </w:p>
    <w:p w14:paraId="50E1BB9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Campo do Coelho</w:t>
      </w:r>
    </w:p>
    <w:p w14:paraId="716FA74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Vargem Alta</w:t>
      </w:r>
    </w:p>
    <w:p w14:paraId="23865E7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Varginha</w:t>
      </w:r>
    </w:p>
    <w:p w14:paraId="4B2ABBB7">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14:paraId="4E44688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B89A2D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14:paraId="12DF653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14:paraId="37158A9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6FDA44A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10 unidades: entrega no CEO (consultar lista de endereços)</w:t>
      </w:r>
    </w:p>
    <w:p w14:paraId="18B6853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5FDF532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C510A1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07 – Aparelho de Ultrassom Odontológico (21 unidades)</w:t>
      </w:r>
    </w:p>
    <w:p w14:paraId="248889F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UBS: (consultar lista de endereços)</w:t>
      </w:r>
    </w:p>
    <w:p w14:paraId="0B137076">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Dr. Sylvio Henrique Braune (02 unidades)</w:t>
      </w:r>
    </w:p>
    <w:p w14:paraId="73270E3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 (02 unidades)</w:t>
      </w:r>
    </w:p>
    <w:p w14:paraId="5C0A690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Ariosto Bento de Melo (01 unidade)</w:t>
      </w:r>
    </w:p>
    <w:p w14:paraId="5BBE4A2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Waldyr Costa (01 unidade)</w:t>
      </w:r>
    </w:p>
    <w:p w14:paraId="59FD9FB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14:paraId="4984532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5B8556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14:paraId="473B338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14:paraId="30B740B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2EB3B8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14 unidades: entrega no CEO (consultar lista de endereços)</w:t>
      </w:r>
    </w:p>
    <w:p w14:paraId="2BBCF51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59808E0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0DBAA1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10 – Destiladora de Água (23 unidades)</w:t>
      </w:r>
    </w:p>
    <w:p w14:paraId="33621B1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15 unidades: entrega nas 15 ESF (01 unidade em cada – consultar lista de endereços).</w:t>
      </w:r>
    </w:p>
    <w:p w14:paraId="2ACB720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14:paraId="7B67D70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1AA770E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nas UBS (01 unidade em cada - consultar lista de endereços):</w:t>
      </w:r>
    </w:p>
    <w:p w14:paraId="2D480D5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Dr. Sylvio Henrique Braune</w:t>
      </w:r>
    </w:p>
    <w:p w14:paraId="44DD5CB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w:t>
      </w:r>
    </w:p>
    <w:p w14:paraId="40F93E2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Ariosto Bento de Melo</w:t>
      </w:r>
    </w:p>
    <w:p w14:paraId="212B68F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Waldyr Costa</w:t>
      </w:r>
    </w:p>
    <w:p w14:paraId="04C5456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14:paraId="64CA54E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6858955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14:paraId="2B9B2A4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14:paraId="7BEBDE1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8D24AA9">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03 unidades: entrega no CEO (consultar lista de endereços)</w:t>
      </w:r>
    </w:p>
    <w:p w14:paraId="0985668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6957A75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561B9F3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11 – Mocho Odontológico (15 unidades)</w:t>
      </w:r>
    </w:p>
    <w:p w14:paraId="5D32B0A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09 unidades: entrega nas ESF (01 unidade em cada - consultar lista de endereços):</w:t>
      </w:r>
    </w:p>
    <w:p w14:paraId="2311F75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Amparo</w:t>
      </w:r>
    </w:p>
    <w:p w14:paraId="3C83E1D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Campo do Coelho</w:t>
      </w:r>
    </w:p>
    <w:p w14:paraId="4FFFD88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Centenário</w:t>
      </w:r>
    </w:p>
    <w:p w14:paraId="41DB0EB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Lumiar</w:t>
      </w:r>
    </w:p>
    <w:p w14:paraId="4ABD4F9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Nova Suíça</w:t>
      </w:r>
    </w:p>
    <w:p w14:paraId="7572E94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Olaria II</w:t>
      </w:r>
    </w:p>
    <w:p w14:paraId="790601D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São Lourenço</w:t>
      </w:r>
    </w:p>
    <w:p w14:paraId="4D3F0B70">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São Pedro da Serra</w:t>
      </w:r>
    </w:p>
    <w:p w14:paraId="2370A5F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ESF Varginha</w:t>
      </w:r>
    </w:p>
    <w:p w14:paraId="53EB143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ESF – Chefia da Unidade - Odontólogo e ASB</w:t>
      </w:r>
    </w:p>
    <w:p w14:paraId="0340BC2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3E18588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no CEO (consultar lista de endereços)</w:t>
      </w:r>
    </w:p>
    <w:p w14:paraId="1BE0CA6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310579F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039D8B8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26 – Mesa Auxiliar Odontológica (28 unidades)</w:t>
      </w:r>
    </w:p>
    <w:p w14:paraId="2ED273E7">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15 unidades: entrega nas 15 ESF (01 unidade em cada – consultar lista de endereços).</w:t>
      </w:r>
    </w:p>
    <w:p w14:paraId="32023946">
      <w:pPr>
        <w:pStyle w:val="20"/>
        <w:widowControl/>
        <w:numPr>
          <w:ilvl w:val="0"/>
          <w:numId w:val="0"/>
        </w:numPr>
        <w:tabs>
          <w:tab w:val="left" w:pos="426"/>
        </w:tabs>
        <w:autoSpaceDE/>
        <w:autoSpaceDN/>
        <w:spacing w:before="120" w:after="120" w:line="276" w:lineRule="auto"/>
        <w:ind w:firstLine="220" w:firstLineChars="100"/>
        <w:jc w:val="both"/>
        <w:rPr>
          <w:rFonts w:ascii="Arial" w:hAnsi="Arial" w:cs="Arial"/>
          <w:bCs/>
          <w:iCs/>
          <w:color w:val="auto"/>
        </w:rPr>
      </w:pPr>
      <w:r>
        <w:rPr>
          <w:rFonts w:ascii="Arial" w:hAnsi="Arial" w:cs="Arial"/>
          <w:bCs/>
          <w:iCs/>
          <w:color w:val="auto"/>
        </w:rPr>
        <w:t>Responsável em cada ESF – Chefia da Unidade - Odontólogo e ASB</w:t>
      </w:r>
    </w:p>
    <w:p w14:paraId="208BB89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4FB82D1">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nas UBS (consultar lista de endereços):</w:t>
      </w:r>
    </w:p>
    <w:p w14:paraId="67B5C82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Dr. Sylvio Henrique Braune (02 unidades)</w:t>
      </w:r>
    </w:p>
    <w:p w14:paraId="667D27F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 (02 unidades)</w:t>
      </w:r>
    </w:p>
    <w:p w14:paraId="160D03D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Ariosto Bento de Melo (01 unidade)</w:t>
      </w:r>
    </w:p>
    <w:p w14:paraId="1B237A3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Waldyr Costa (01 unidade)</w:t>
      </w:r>
    </w:p>
    <w:p w14:paraId="7E8CC6A7">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14:paraId="4F801AE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4AF646A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01 unidade: entrega no CPMNF (consultar lista de endereços)</w:t>
      </w:r>
    </w:p>
    <w:p w14:paraId="2718C44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no consultório: Regiana ou Sônia</w:t>
      </w:r>
    </w:p>
    <w:p w14:paraId="5E217EB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06 unidades: entrega no CEO (consultar lista de endereços)</w:t>
      </w:r>
    </w:p>
    <w:p w14:paraId="1153A73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0722B1E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2D93A69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29 – Bomba a Vácuo (06 unidades)</w:t>
      </w:r>
    </w:p>
    <w:p w14:paraId="55F1DF63">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02 unidades: entrega nas UBS (01 unidade em cada – consultar lista de endereços):</w:t>
      </w:r>
    </w:p>
    <w:p w14:paraId="3EB0728C">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Sylvio Henrique Braune</w:t>
      </w:r>
    </w:p>
    <w:p w14:paraId="099DF6AE">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w:t>
      </w:r>
    </w:p>
    <w:p w14:paraId="4B5F290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14:paraId="4E01B33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737C07F4">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04 unidades: entrega no CEO (consultar lista de endereços)</w:t>
      </w:r>
    </w:p>
    <w:p w14:paraId="521C673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75FC4845">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6DF5763D">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Item 30 – Kit Suctor (12 unidades)</w:t>
      </w:r>
    </w:p>
    <w:p w14:paraId="49C38EDB">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04 unidades: entrega nas UBS (02 unidades em cada – consultar lista de endereços):</w:t>
      </w:r>
    </w:p>
    <w:p w14:paraId="40F7D27A">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Sylvio Henrique Braune</w:t>
      </w:r>
    </w:p>
    <w:p w14:paraId="2F4D01EF">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u w:val="single"/>
        </w:rPr>
      </w:pPr>
      <w:r>
        <w:rPr>
          <w:rFonts w:ascii="Arial" w:hAnsi="Arial" w:cs="Arial"/>
          <w:bCs/>
          <w:iCs/>
          <w:color w:val="auto"/>
          <w:u w:val="single"/>
        </w:rPr>
        <w:t>UBS Tunney Kassuga</w:t>
      </w:r>
    </w:p>
    <w:p w14:paraId="4385834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em cada UBS – Chefia da Unidade - Odontólogo e ASB</w:t>
      </w:r>
    </w:p>
    <w:p w14:paraId="1EBAC1E2">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p>
    <w:p w14:paraId="4A96B73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08 unidades: entrega no CEO (consultar lista de endereços)</w:t>
      </w:r>
    </w:p>
    <w:p w14:paraId="37272558">
      <w:pPr>
        <w:pStyle w:val="20"/>
        <w:widowControl/>
        <w:numPr>
          <w:ilvl w:val="0"/>
          <w:numId w:val="0"/>
        </w:numPr>
        <w:tabs>
          <w:tab w:val="left" w:pos="426"/>
        </w:tabs>
        <w:autoSpaceDE/>
        <w:autoSpaceDN/>
        <w:spacing w:before="120" w:after="120" w:line="276" w:lineRule="auto"/>
        <w:ind w:left="220" w:leftChars="0"/>
        <w:jc w:val="both"/>
        <w:rPr>
          <w:rFonts w:ascii="Arial" w:hAnsi="Arial" w:cs="Arial"/>
          <w:bCs/>
          <w:iCs/>
          <w:color w:val="auto"/>
        </w:rPr>
      </w:pPr>
      <w:r>
        <w:rPr>
          <w:rFonts w:ascii="Arial" w:hAnsi="Arial" w:cs="Arial"/>
          <w:bCs/>
          <w:iCs/>
          <w:color w:val="auto"/>
        </w:rPr>
        <w:t>Responsável Geral – Luciane Boechat (tel.: 22-99961-0823)</w:t>
      </w:r>
    </w:p>
    <w:p w14:paraId="79710B56">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color w:val="auto"/>
        </w:rPr>
      </w:pPr>
      <w:r>
        <w:rPr>
          <w:rFonts w:hint="default" w:ascii="Arial" w:hAnsi="Arial" w:cs="Arial"/>
          <w:bCs/>
          <w:iCs/>
          <w:color w:val="auto"/>
          <w:lang w:val="pt-BR"/>
        </w:rPr>
        <w:t xml:space="preserve">3.1.8 </w:t>
      </w:r>
      <w:r>
        <w:rPr>
          <w:rFonts w:ascii="Arial" w:hAnsi="Arial" w:cs="Arial"/>
          <w:bCs/>
          <w:iCs/>
          <w:color w:val="auto"/>
        </w:rPr>
        <w:t>Para fins de contato e entrega de materiais, o fornecedor deverá entrar em contato com a</w:t>
      </w:r>
      <w:r>
        <w:rPr>
          <w:rFonts w:ascii="Arial" w:hAnsi="Arial" w:cs="Arial"/>
          <w:b/>
          <w:bCs w:val="0"/>
          <w:iCs/>
          <w:color w:val="auto"/>
        </w:rPr>
        <w:t xml:space="preserve"> Coordenadora da Saúde Bucal, Luciane Boechat</w:t>
      </w:r>
      <w:r>
        <w:rPr>
          <w:rFonts w:ascii="Arial" w:hAnsi="Arial" w:cs="Arial"/>
          <w:bCs/>
          <w:iCs/>
          <w:color w:val="auto"/>
        </w:rPr>
        <w:t xml:space="preserve"> por meio do telefone (22) 99961-0823 ou apresentar-se ao Consultório Odontológico da Prefeitura Municipal de Nova Friburgo,</w:t>
      </w:r>
      <w:r>
        <w:rPr>
          <w:rFonts w:ascii="Arial" w:hAnsi="Arial" w:cs="Arial"/>
          <w:b/>
          <w:bCs w:val="0"/>
          <w:iCs/>
          <w:color w:val="auto"/>
        </w:rPr>
        <w:t xml:space="preserve"> localizado no pátio interno da Prefeitura, situado na Avenida Alberto Braune, nº 225, Centro, Nova Friburgo/RJ – CEP 28.613-001. </w:t>
      </w:r>
    </w:p>
    <w:p w14:paraId="4BA82FE2">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color w:val="auto"/>
        </w:rPr>
      </w:pPr>
      <w:r>
        <w:rPr>
          <w:rFonts w:hint="default" w:ascii="Arial" w:hAnsi="Arial" w:cs="Arial"/>
          <w:bCs/>
          <w:iCs/>
          <w:color w:val="auto"/>
          <w:lang w:val="pt-BR"/>
        </w:rPr>
        <w:t xml:space="preserve">3.1.9 </w:t>
      </w:r>
      <w:r>
        <w:rPr>
          <w:rFonts w:ascii="Arial" w:hAnsi="Arial" w:cs="Arial"/>
          <w:bCs/>
          <w:iCs/>
          <w:color w:val="auto"/>
        </w:rPr>
        <w:t>O fornecedor deverá entrar em contato prévio, tendo prazo máximo de 24 horas, para agendar a entrega e esclarecer eventuais dúvidas sobre o procedimento.</w:t>
      </w:r>
    </w:p>
    <w:p w14:paraId="52EA9F78">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3.1.10 Na hipótese de alteração dos endereços previamente indicados para entrega ou instalação dos equipamentos, a Administração deverá comunicar formalmente a Contratada, com antecedência mínima de 20 (vinte) dias, a fim de possibilitar a readequação logística e a substituição dos locais de entrega ou instalação, sem prejuízo do regular cumprimento das obrigações contratuais.</w:t>
      </w:r>
    </w:p>
    <w:p w14:paraId="4C89BA51">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3.1.10.1 A alteração deverá ocorrer no âmbito territorial do Município de Nova Friburgo/RJ, sem modificação do objeto, dos quantitativos contratados, das especificações técnicas, dos prazos de execução e das demais obrigações assumidas pela Contratada.</w:t>
      </w:r>
    </w:p>
    <w:p w14:paraId="3ADBA32F">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3.1.10.2 A substituição do local de entrega ou instalação não ensejará acréscimo de custos para a Administração, desde que observadas as condições previstas no Termo de Referência e que o novo endereço apresente condições adequadas de acesso, recebimento, instalação e funcionamento do equipamento.</w:t>
      </w:r>
    </w:p>
    <w:p w14:paraId="2A2F6430">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3.1.10.3 Quando a alteração envolver equipamento que demande instalação técnica, a Contratante deverá assegurar previamente a disponibilidade de infraestrutura elétrica, hidráulica, física, sanitária ou de rede, conforme aplicável, para viabilizar a instalação, os testes e o recebimento definitivo.</w:t>
      </w:r>
    </w:p>
    <w:p w14:paraId="676F23EA">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3.1.11 Em relação dos itens para recebimento, inspeção e instalação técnica no local de entrega:</w:t>
      </w:r>
    </w:p>
    <w:p w14:paraId="4C7521DC">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3.1.11.1. A instalação e comissionamento inclui:</w:t>
      </w:r>
    </w:p>
    <w:p w14:paraId="40452DA6">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-Montagem,</w:t>
      </w:r>
    </w:p>
    <w:p w14:paraId="7913B5D9">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-ligações elétricas e hidráulicas (quando houver),</w:t>
      </w:r>
    </w:p>
    <w:p w14:paraId="4AC2BD73">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-Testes operacionais,</w:t>
      </w:r>
    </w:p>
    <w:p w14:paraId="62DB15DA">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-Calibração,</w:t>
      </w:r>
    </w:p>
    <w:p w14:paraId="2AE18452">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-Demonstração de funcionamento,</w:t>
      </w:r>
    </w:p>
    <w:p w14:paraId="7944C452">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-Emissão de termo de instalação.</w:t>
      </w:r>
    </w:p>
    <w:p w14:paraId="7B8AF1DE">
      <w:pPr>
        <w:pStyle w:val="20"/>
        <w:widowControl/>
        <w:numPr>
          <w:ilvl w:val="0"/>
          <w:numId w:val="0"/>
        </w:numPr>
        <w:tabs>
          <w:tab w:val="left" w:pos="220"/>
        </w:tabs>
        <w:autoSpaceDE/>
        <w:autoSpaceDN/>
        <w:spacing w:before="120" w:after="120" w:line="276" w:lineRule="auto"/>
        <w:ind w:firstLine="220" w:firstLineChars="100"/>
        <w:jc w:val="both"/>
        <w:rPr>
          <w:rFonts w:hint="default" w:ascii="Arial" w:hAnsi="Arial" w:cs="Arial"/>
          <w:bCs/>
          <w:iCs/>
          <w:color w:val="auto"/>
          <w:lang w:val="en-US" w:eastAsia="pt-BR"/>
        </w:rPr>
      </w:pPr>
      <w:r>
        <w:rPr>
          <w:rFonts w:hint="default" w:ascii="Arial" w:hAnsi="Arial" w:cs="Arial"/>
          <w:bCs/>
          <w:iCs/>
          <w:color w:val="auto"/>
          <w:lang w:val="en-US" w:eastAsia="pt-BR"/>
        </w:rPr>
        <w:t>3.1.11.2 Durante o período de garantia, a manutenção corretiva deverá:</w:t>
      </w:r>
    </w:p>
    <w:p w14:paraId="27FBFA2A">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-Ter o prazo de até 48 horas úteis depois da solicitação feita pela Coordenação de Saúde Bucal,</w:t>
      </w:r>
    </w:p>
    <w:p w14:paraId="20F7C7D5">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-Fornecer peças originais</w:t>
      </w:r>
    </w:p>
    <w:p w14:paraId="4820438A">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-Se necessário, substituição temporária do equipamento</w:t>
      </w:r>
    </w:p>
    <w:p w14:paraId="681CDF57">
      <w:pPr>
        <w:pStyle w:val="20"/>
        <w:widowControl/>
        <w:numPr>
          <w:ilvl w:val="0"/>
          <w:numId w:val="0"/>
        </w:numPr>
        <w:tabs>
          <w:tab w:val="left" w:pos="220"/>
        </w:tabs>
        <w:autoSpaceDE/>
        <w:autoSpaceDN/>
        <w:spacing w:before="120" w:after="120" w:line="276" w:lineRule="auto"/>
        <w:ind w:left="220" w:leftChars="100" w:firstLine="0" w:firstLineChars="0"/>
        <w:jc w:val="both"/>
        <w:rPr>
          <w:rFonts w:hint="default" w:ascii="Arial" w:hAnsi="Arial" w:cs="Arial"/>
          <w:bCs/>
          <w:iCs/>
          <w:color w:val="auto"/>
          <w:lang w:val="en-US" w:eastAsia="pt-BR"/>
        </w:rPr>
      </w:pPr>
      <w:r>
        <w:rPr>
          <w:rFonts w:hint="default" w:ascii="Arial" w:hAnsi="Arial" w:cs="Arial"/>
          <w:bCs/>
          <w:iCs/>
          <w:color w:val="auto"/>
          <w:lang w:val="en-US" w:eastAsia="pt-BR"/>
        </w:rPr>
        <w:t>-Emitir um relatório técnico após cada intervenção</w:t>
      </w:r>
    </w:p>
    <w:p w14:paraId="5444D654">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u w:val="single"/>
        </w:rPr>
      </w:pPr>
      <w:r>
        <w:rPr>
          <w:rFonts w:hint="default" w:ascii="Arial" w:hAnsi="Arial" w:cs="Arial"/>
          <w:bCs/>
          <w:iCs/>
          <w:u w:val="single"/>
          <w:lang w:val="en-US" w:eastAsia="pt-BR"/>
        </w:rPr>
        <w:t xml:space="preserve">3.2 </w:t>
      </w:r>
      <w:r>
        <w:rPr>
          <w:rFonts w:ascii="Arial" w:hAnsi="Arial" w:cs="Arial"/>
          <w:bCs/>
          <w:iCs/>
          <w:u w:val="single"/>
        </w:rPr>
        <w:t>MODELO DE GESTÃO DO CONTRATO (art. 6º, XXIII, alínea “f”, da Lei nº 14.133/21).</w:t>
      </w:r>
    </w:p>
    <w:p w14:paraId="3D969016">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 de 2021, e cada parte responderá pelas consequências de sua inexecução total ou parcial (Lei nº 14.133/2021, art. 115, caput).</w:t>
      </w:r>
    </w:p>
    <w:p w14:paraId="093C3EB6">
      <w:pPr>
        <w:pStyle w:val="20"/>
        <w:widowControl/>
        <w:numPr>
          <w:ilvl w:val="0"/>
          <w:numId w:val="0"/>
        </w:numPr>
        <w:tabs>
          <w:tab w:val="left" w:pos="220"/>
        </w:tabs>
        <w:autoSpaceDE/>
        <w:autoSpaceDN/>
        <w:spacing w:before="120" w:after="120" w:line="276" w:lineRule="auto"/>
        <w:ind w:left="220" w:leftChars="100" w:firstLine="0" w:firstLineChars="0"/>
        <w:jc w:val="both"/>
        <w:rPr>
          <w:rFonts w:ascii="Arial" w:hAnsi="Arial" w:cs="Arial"/>
          <w:bCs/>
          <w:iCs/>
        </w:rPr>
      </w:pPr>
      <w:bookmarkStart w:id="3" w:name="art115§5"/>
      <w:bookmarkEnd w:id="3"/>
      <w:bookmarkStart w:id="4" w:name="art115§1"/>
      <w:bookmarkEnd w:id="4"/>
      <w:r>
        <w:rPr>
          <w:rFonts w:hint="default" w:ascii="Arial" w:hAnsi="Arial" w:cs="Arial"/>
          <w:bCs/>
          <w:iCs/>
          <w:lang w:val="pt-BR"/>
        </w:rPr>
        <w:t xml:space="preserve">3.2.2 </w:t>
      </w:r>
      <w:r>
        <w:rPr>
          <w:rFonts w:ascii="Arial" w:hAnsi="Arial" w:cs="Arial"/>
          <w:bCs/>
          <w:iCs/>
        </w:rPr>
        <w:t>Em caso de impedimento, ordem de paralisação ou suspensão do contrato, o cronograma de execução será prorrogado automaticamente pelo tempo correspondente, anotadas tais circunstâncias mediante simples apostila (Lei nº 14.133/2021, art. 115, §5º).</w:t>
      </w:r>
      <w:bookmarkStart w:id="5" w:name="art116"/>
      <w:bookmarkEnd w:id="5"/>
    </w:p>
    <w:p w14:paraId="264FDC66">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3.2.3 </w:t>
      </w:r>
      <w:r>
        <w:rPr>
          <w:rFonts w:ascii="Arial" w:hAnsi="Arial" w:cs="Arial"/>
          <w:bCs/>
          <w:iCs/>
        </w:rPr>
        <w:t>A execução do contrato deverá ser acompanhada e fiscalizada pelo(s) fiscal(is) do contrato, ou pelos respectivos substitutos (Lei nº 14.133/2021, art. 117, caput).</w:t>
      </w:r>
    </w:p>
    <w:p w14:paraId="515ABA3D">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3.2.4 </w:t>
      </w:r>
      <w:r>
        <w:rPr>
          <w:rFonts w:ascii="Arial" w:hAnsi="Arial" w:cs="Arial"/>
          <w:bCs/>
          <w:iCs/>
        </w:rPr>
        <w:t>O fiscal do contrato anotará em registro próprio todas as ocorrências relacionadas à execução do contrato, determinando o que for necessário para a regularização das faltas ou dos defeitos observados (Lei nº 14.133/2021, art. 117, §1º).</w:t>
      </w:r>
    </w:p>
    <w:p w14:paraId="280530C5">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6" w:name="art117§2"/>
      <w:bookmarkEnd w:id="6"/>
      <w:r>
        <w:rPr>
          <w:rFonts w:hint="default" w:ascii="Arial" w:hAnsi="Arial" w:cs="Arial"/>
          <w:bCs/>
          <w:iCs/>
          <w:lang w:val="pt-BR"/>
        </w:rPr>
        <w:t xml:space="preserve">3.2.5 </w:t>
      </w:r>
      <w:r>
        <w:rPr>
          <w:rFonts w:ascii="Arial" w:hAnsi="Arial" w:cs="Arial"/>
          <w:bCs/>
          <w:iCs/>
        </w:rPr>
        <w:t>O fiscal do contrato informará a seus superiores, em tempo hábil para a adoção das medidas convenientes, a situação que demandar decisão ou providência que ultrapasse sua competência (Lei nº 14.133/2021, art. 117, §2º).</w:t>
      </w:r>
    </w:p>
    <w:p w14:paraId="2217A572">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3.2.6</w:t>
      </w:r>
      <w:r>
        <w:rPr>
          <w:rFonts w:ascii="Arial" w:hAnsi="Arial" w:cs="Arial"/>
          <w:bCs/>
          <w:iCs/>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68FFA29">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7" w:name="art120"/>
      <w:bookmarkEnd w:id="7"/>
      <w:r>
        <w:rPr>
          <w:rFonts w:hint="default" w:ascii="Arial" w:hAnsi="Arial" w:cs="Arial"/>
          <w:bCs/>
          <w:iCs/>
          <w:lang w:val="pt-BR"/>
        </w:rPr>
        <w:t xml:space="preserve">3.2.7 </w:t>
      </w:r>
      <w:r>
        <w:rPr>
          <w:rFonts w:ascii="Arial" w:hAnsi="Arial" w:cs="Arial"/>
          <w:bCs/>
          <w:iCs/>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3405C74">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8" w:name="art121"/>
      <w:bookmarkEnd w:id="8"/>
      <w:r>
        <w:rPr>
          <w:rFonts w:hint="default" w:ascii="Arial" w:hAnsi="Arial" w:cs="Arial"/>
          <w:bCs/>
          <w:iCs/>
          <w:lang w:val="pt-BR"/>
        </w:rPr>
        <w:t xml:space="preserve">3.2.8 </w:t>
      </w:r>
      <w:r>
        <w:rPr>
          <w:rFonts w:ascii="Arial" w:hAnsi="Arial" w:cs="Arial"/>
          <w:bCs/>
          <w:iCs/>
        </w:rPr>
        <w:t>Somente o contratado será responsável pelos encargos trabalhistas, previdenciários, fiscais e comerciais resultantes da execução do contrato (Lei nº 14.133/2021, art. 121, caput).</w:t>
      </w:r>
    </w:p>
    <w:p w14:paraId="543B78D0">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9" w:name="art121§1"/>
      <w:bookmarkEnd w:id="9"/>
      <w:r>
        <w:rPr>
          <w:rFonts w:hint="default" w:ascii="Arial" w:hAnsi="Arial" w:cs="Arial"/>
          <w:bCs/>
          <w:iCs/>
          <w:lang w:val="pt-BR"/>
        </w:rPr>
        <w:t xml:space="preserve">3.2.9 </w:t>
      </w:r>
      <w:r>
        <w:rPr>
          <w:rFonts w:ascii="Arial" w:hAnsi="Arial" w:cs="Arial"/>
          <w:bCs/>
          <w:iCs/>
        </w:rPr>
        <w:t>A inadimplência do contratado em relação aos encargos trabalhistas, fiscais e comerciais não transferirá à Administração a responsabilidade pelo seu pagamento e não poderá onerar o objeto do contrato (Lei nº 14.133/2021, art. 121, §1º).</w:t>
      </w:r>
    </w:p>
    <w:p w14:paraId="2DCD7979">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bookmarkStart w:id="10" w:name="art122"/>
      <w:bookmarkEnd w:id="10"/>
      <w:bookmarkStart w:id="11" w:name="art122§2"/>
      <w:bookmarkEnd w:id="11"/>
      <w:bookmarkStart w:id="12" w:name="art122§3"/>
      <w:bookmarkEnd w:id="12"/>
      <w:bookmarkStart w:id="13" w:name="art122§1"/>
      <w:bookmarkEnd w:id="13"/>
      <w:bookmarkStart w:id="14" w:name="art123"/>
      <w:bookmarkEnd w:id="14"/>
      <w:r>
        <w:rPr>
          <w:rFonts w:hint="default" w:ascii="Arial" w:hAnsi="Arial" w:cs="Arial"/>
          <w:bCs/>
          <w:iCs/>
          <w:lang w:val="pt-BR"/>
        </w:rPr>
        <w:t xml:space="preserve">3.2.10 </w:t>
      </w:r>
      <w:r>
        <w:rPr>
          <w:rFonts w:ascii="Arial" w:hAnsi="Arial" w:cs="Arial"/>
          <w:bCs/>
          <w:iCs/>
        </w:rPr>
        <w:t>As comunicações entre o órgão ou entidade e a contratada devem ser realizadas por escrito sempre que o ato exigir tal formalidade, admitindo-se, excepcionalmente, o uso de mensagem eletrônica para esse fim.</w:t>
      </w:r>
    </w:p>
    <w:p w14:paraId="24A34744">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 3.2.11 </w:t>
      </w:r>
      <w:r>
        <w:rPr>
          <w:rFonts w:ascii="Arial" w:hAnsi="Arial" w:cs="Arial"/>
          <w:bCs/>
          <w:iCs/>
        </w:rPr>
        <w:t>O órgão ou entidade poderá convocar representante da empresa para adoção de providências que devam ser cumpridas de imediato.</w:t>
      </w:r>
    </w:p>
    <w:p w14:paraId="582C1EF6">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3.2.12 </w:t>
      </w:r>
      <w:r>
        <w:rPr>
          <w:rFonts w:ascii="Arial" w:hAnsi="Arial" w:cs="Arial"/>
          <w:bCs/>
          <w:iCs/>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35896A8B">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eastAsia="en-US"/>
        </w:rPr>
        <w:t xml:space="preserve">3.2.13 </w:t>
      </w:r>
      <w:r>
        <w:rPr>
          <w:rFonts w:ascii="Arial" w:hAnsi="Arial" w:cs="Arial"/>
          <w:bCs/>
          <w:iCs/>
          <w:lang w:eastAsia="en-US"/>
        </w:rPr>
        <w:t>O acompanhamento, a gestão e a fiscalização da contratação serão exercidas por representantes da Contratante, aos quais competirá dirimir as dúvidas que surgirem no curso da execução do contrato, e de tudo dar ciência à Administração, na forma do disposto no capítulo VI do título III da Lei Federal nº14.133/21.</w:t>
      </w:r>
    </w:p>
    <w:p w14:paraId="353C5CF7">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3.2.14 </w:t>
      </w:r>
      <w:r>
        <w:rPr>
          <w:rFonts w:ascii="Arial" w:hAnsi="Arial" w:cs="Arial"/>
          <w:bCs/>
          <w:iCs/>
          <w:lang w:eastAsia="en-US"/>
        </w:rPr>
        <w:t>Para o acompanhamento, gestão e fiscalização da execução do presente contrato, serão designados em momento posterior, antes da execução do objeto, agentes públicos gestor/gestor substituto e fiscal/ fiscal substituto.</w:t>
      </w:r>
    </w:p>
    <w:p w14:paraId="215D7365">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3.2.15 </w:t>
      </w:r>
      <w:r>
        <w:rPr>
          <w:rFonts w:ascii="Arial" w:hAnsi="Arial" w:cs="Arial"/>
          <w:bCs/>
          <w:iCs/>
          <w:lang w:eastAsia="en-US"/>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441A3D60">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3.2.16 </w:t>
      </w:r>
      <w:r>
        <w:rPr>
          <w:rFonts w:ascii="Arial" w:hAnsi="Arial" w:cs="Arial"/>
          <w:bCs/>
          <w:iCs/>
          <w:lang w:eastAsia="en-US"/>
        </w:rPr>
        <w:t>O(s) fiscal(is) designado pela Contratante deverá ter a experiência necessária para o acompanhamento e controle da execução dos serviços e do contrato;</w:t>
      </w:r>
    </w:p>
    <w:p w14:paraId="0FAB5775">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3.2.17 </w:t>
      </w:r>
      <w:r>
        <w:rPr>
          <w:rFonts w:ascii="Arial" w:hAnsi="Arial" w:cs="Arial"/>
          <w:bCs/>
          <w:iCs/>
          <w:lang w:eastAsia="en-US"/>
        </w:rPr>
        <w:t>A verificação da adequação da prestação do serviço deverá ser realizada com base nos critérios previstos neste Termo de Referência;</w:t>
      </w:r>
    </w:p>
    <w:p w14:paraId="60C56C7A">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3.2.18 </w:t>
      </w:r>
      <w:r>
        <w:rPr>
          <w:rFonts w:ascii="Arial" w:hAnsi="Arial" w:cs="Arial"/>
          <w:bCs/>
          <w:iCs/>
          <w:lang w:eastAsia="en-U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788B8E20">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eastAsia="en-US"/>
        </w:rPr>
        <w:t xml:space="preserve">3.2.19 </w:t>
      </w:r>
      <w:r>
        <w:rPr>
          <w:rFonts w:ascii="Arial" w:hAnsi="Arial" w:cs="Arial"/>
          <w:bCs/>
          <w:iCs/>
          <w:lang w:eastAsia="en-US"/>
        </w:rPr>
        <w:t>Para o acompanhamento, gestão e fiscalização da execução das contratações, serão designados, em momento oportuno, gestor do contrato, gestor substituto, fiscal do contrato e fiscal substituto, observadas as competências legais e administrativas.</w:t>
      </w:r>
    </w:p>
    <w:p w14:paraId="6A858566">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3.2.20 </w:t>
      </w:r>
      <w:r>
        <w:rPr>
          <w:rFonts w:ascii="Arial" w:hAnsi="Arial" w:cs="Arial"/>
          <w:bCs/>
          <w:iCs/>
        </w:rPr>
        <w:t>Além das obrigações resultantes da aplicação da lei n° 14.133/21 e demais normas pertinentes, são obrigações da CONTRATANTE:</w:t>
      </w:r>
    </w:p>
    <w:p w14:paraId="15EAEB93">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3.2.21 </w:t>
      </w:r>
      <w:r>
        <w:rPr>
          <w:rFonts w:ascii="Arial" w:hAnsi="Arial" w:cs="Arial"/>
          <w:bCs/>
          <w:iCs/>
        </w:rPr>
        <w:t xml:space="preserve">Atestar as faturas/notas fiscais da CONTRATADA oriundas da realização dos serviços licitados; </w:t>
      </w:r>
    </w:p>
    <w:p w14:paraId="4F3A1A30">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3.2.22 </w:t>
      </w:r>
      <w:r>
        <w:rPr>
          <w:rFonts w:ascii="Arial" w:hAnsi="Arial" w:cs="Arial"/>
          <w:bCs/>
          <w:iCs/>
        </w:rPr>
        <w:t>Efetuar os pagamentos devidos, nos prazos estabelecidos, à contratada;</w:t>
      </w:r>
    </w:p>
    <w:p w14:paraId="2ABE57EB">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3.2.23 </w:t>
      </w:r>
      <w:r>
        <w:rPr>
          <w:rFonts w:ascii="Arial" w:hAnsi="Arial" w:cs="Arial"/>
          <w:bCs/>
          <w:iCs/>
        </w:rPr>
        <w:t>Prestar as informações e os devidos esclarecimentos que venham a ser solicitados pela CONTRATADA;</w:t>
      </w:r>
    </w:p>
    <w:p w14:paraId="2E00DFDF">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lang w:eastAsia="en-US"/>
        </w:rPr>
      </w:pPr>
      <w:r>
        <w:rPr>
          <w:rFonts w:hint="default" w:ascii="Arial" w:hAnsi="Arial" w:cs="Arial"/>
          <w:bCs/>
          <w:iCs/>
          <w:lang w:val="pt-BR"/>
        </w:rPr>
        <w:t xml:space="preserve">3.2.24 </w:t>
      </w:r>
      <w:r>
        <w:rPr>
          <w:rFonts w:ascii="Arial" w:hAnsi="Arial" w:cs="Arial"/>
          <w:bCs/>
          <w:iCs/>
        </w:rPr>
        <w:t>Aplicar as penalidades constantes no item das Sanções Administrativas do presente Termo de Referência, bem como instrumento editalício e Lei nº14.133/21, em caso de descumprimento de qualquer obrigação por parte da CONTRATADA.</w:t>
      </w:r>
    </w:p>
    <w:p w14:paraId="4975A9CF">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3.2.25 </w:t>
      </w:r>
      <w:r>
        <w:rPr>
          <w:rFonts w:ascii="Arial" w:hAnsi="Arial" w:cs="Arial"/>
          <w:bCs/>
          <w:iCs/>
        </w:rPr>
        <w:t>Todos os equipamentos fornecidos deverão possuir garantia mínima do fabricante, conforme especificações técnicas neste Termo de Referência e no Estudo Técnico Preliminar nº 76/2025</w:t>
      </w:r>
    </w:p>
    <w:p w14:paraId="73CB0040">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 </w:t>
      </w:r>
      <w:r>
        <w:rPr>
          <w:rFonts w:ascii="Arial" w:hAnsi="Arial" w:cs="Arial"/>
          <w:bCs/>
          <w:iCs/>
        </w:rPr>
        <w:t>Durante o período de garantia, a contratada deverá prestar manutenção preventiva e corretiva, sem ônus adicional para a Administração. Estas manutenções abrangem:</w:t>
      </w:r>
    </w:p>
    <w:p w14:paraId="34AAEA8F">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3.2.26.1 </w:t>
      </w:r>
      <w:r>
        <w:rPr>
          <w:rFonts w:ascii="Arial" w:hAnsi="Arial" w:cs="Arial"/>
          <w:bCs/>
          <w:iCs/>
        </w:rPr>
        <w:t>Diagnósticos de falhas;</w:t>
      </w:r>
    </w:p>
    <w:p w14:paraId="44174A45">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3.2.26.2 </w:t>
      </w:r>
      <w:r>
        <w:rPr>
          <w:rFonts w:ascii="Arial" w:hAnsi="Arial" w:cs="Arial"/>
          <w:bCs/>
          <w:iCs/>
        </w:rPr>
        <w:t>Reparos ou substituições de peças defeituosas;</w:t>
      </w:r>
    </w:p>
    <w:p w14:paraId="66368897">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3.2.26.3 </w:t>
      </w:r>
      <w:r>
        <w:rPr>
          <w:rFonts w:ascii="Arial" w:hAnsi="Arial" w:cs="Arial"/>
          <w:bCs/>
          <w:iCs/>
        </w:rPr>
        <w:t>Ajustes técnicos necessários ao pleno funcionamento do equipamento;</w:t>
      </w:r>
    </w:p>
    <w:p w14:paraId="7947F824">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3.2.26.4 </w:t>
      </w:r>
      <w:r>
        <w:rPr>
          <w:rFonts w:ascii="Arial" w:hAnsi="Arial" w:cs="Arial"/>
          <w:bCs/>
          <w:iCs/>
        </w:rPr>
        <w:t>Fornecimento de peças originais e compatíveis</w:t>
      </w:r>
    </w:p>
    <w:p w14:paraId="3A8C8807">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3.2.26.5 </w:t>
      </w:r>
      <w:r>
        <w:rPr>
          <w:rFonts w:ascii="Arial" w:hAnsi="Arial" w:cs="Arial"/>
          <w:bCs/>
          <w:iCs/>
        </w:rPr>
        <w:t>O prazo máximo para atendimento da assistência técnica será de até 48 horas úteis, contando a partir da comunicação formal do órgão gerenciador</w:t>
      </w:r>
    </w:p>
    <w:p w14:paraId="5F40891F">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3.2.26.6 </w:t>
      </w:r>
      <w:r>
        <w:rPr>
          <w:rFonts w:ascii="Arial" w:hAnsi="Arial" w:cs="Arial"/>
          <w:bCs/>
          <w:iCs/>
        </w:rPr>
        <w:t>Caso o reparo não seja concluído dentro do prazo estabelecido e o equipamento permaneça inoperante, a contratada deverá providenciar, sem custos adicionais, a substituição temporária ou definitiva por equipamento equivalente ou superior, em perfeitas condições de uso.</w:t>
      </w:r>
    </w:p>
    <w:p w14:paraId="4C79FDEA">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3.2.27 </w:t>
      </w:r>
      <w:r>
        <w:rPr>
          <w:rFonts w:ascii="Arial" w:hAnsi="Arial" w:cs="Arial"/>
          <w:bCs/>
          <w:iCs/>
        </w:rPr>
        <w:t>A assistência técnica deverá ser prestada por rede autorizada, devidamente capacitada, assegurando o atendimento adequado às normas técnicas e sanitárias aplicáveis.</w:t>
      </w:r>
    </w:p>
    <w:p w14:paraId="0D5264DB">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3.2.28 </w:t>
      </w:r>
      <w:r>
        <w:rPr>
          <w:rFonts w:ascii="Arial" w:hAnsi="Arial" w:cs="Arial"/>
          <w:bCs/>
          <w:iCs/>
        </w:rPr>
        <w:t>Todos os atendimentos de manutenção deverão ser formalizados por meio de relatório técnico, contendo descrição do serviço executado, peças substituídas, data, responsável técnico e número de protocolo.</w:t>
      </w:r>
    </w:p>
    <w:p w14:paraId="383AC1D3">
      <w:pPr>
        <w:pStyle w:val="20"/>
        <w:widowControl/>
        <w:numPr>
          <w:ilvl w:val="0"/>
          <w:numId w:val="0"/>
        </w:numPr>
        <w:tabs>
          <w:tab w:val="left" w:pos="426"/>
        </w:tabs>
        <w:autoSpaceDE/>
        <w:autoSpaceDN/>
        <w:spacing w:before="120" w:after="120" w:line="276" w:lineRule="auto"/>
        <w:ind w:left="440" w:leftChars="200" w:firstLine="0" w:firstLineChars="0"/>
        <w:jc w:val="both"/>
        <w:rPr>
          <w:rFonts w:ascii="Arial" w:hAnsi="Arial" w:cs="Arial"/>
          <w:bCs/>
          <w:iCs/>
        </w:rPr>
      </w:pPr>
      <w:r>
        <w:rPr>
          <w:rFonts w:hint="default" w:ascii="Arial" w:hAnsi="Arial" w:cs="Arial"/>
          <w:bCs/>
          <w:iCs/>
          <w:lang w:val="pt-BR"/>
        </w:rPr>
        <w:t xml:space="preserve">3.2.29 </w:t>
      </w:r>
      <w:r>
        <w:rPr>
          <w:rFonts w:ascii="Arial" w:hAnsi="Arial" w:cs="Arial"/>
          <w:bCs/>
          <w:iCs/>
        </w:rPr>
        <w:t>O término do período de garantia somente ocorrerá após a plena regularização de eventuais pendências técnicas identificadas durante sua vigência.</w:t>
      </w:r>
    </w:p>
    <w:p w14:paraId="3EA7340D">
      <w:pPr>
        <w:pStyle w:val="20"/>
        <w:numPr>
          <w:ilvl w:val="0"/>
          <w:numId w:val="0"/>
        </w:numPr>
        <w:tabs>
          <w:tab w:val="left" w:pos="284"/>
        </w:tabs>
        <w:spacing w:line="276" w:lineRule="auto"/>
        <w:ind w:leftChars="0"/>
        <w:jc w:val="both"/>
        <w:rPr>
          <w:rFonts w:ascii="Arial" w:hAnsi="Arial" w:cs="Arial" w:eastAsiaTheme="majorEastAsia"/>
          <w:b/>
          <w:bCs/>
          <w:lang w:val="pt-BR" w:eastAsia="pt-BR"/>
        </w:rPr>
      </w:pPr>
    </w:p>
    <w:p w14:paraId="011AD53F">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18FEC4C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Não será admitida a subcontratação do objeto contratual.</w:t>
      </w:r>
    </w:p>
    <w:p w14:paraId="7EEFB29D">
      <w:pPr>
        <w:pStyle w:val="20"/>
        <w:widowControl/>
        <w:tabs>
          <w:tab w:val="left" w:pos="426"/>
        </w:tabs>
        <w:autoSpaceDE/>
        <w:autoSpaceDN/>
        <w:spacing w:before="120" w:after="120" w:line="276" w:lineRule="auto"/>
        <w:ind w:left="0"/>
        <w:jc w:val="both"/>
        <w:rPr>
          <w:rFonts w:ascii="Arial" w:hAnsi="Arial" w:cs="Arial"/>
          <w:bCs/>
          <w:i/>
          <w:iCs/>
          <w:color w:val="FF0000"/>
        </w:rPr>
      </w:pPr>
    </w:p>
    <w:p w14:paraId="1DE901E1">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2C124BF8">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 valor total da contratação é de R$.......... (.....)</w:t>
      </w:r>
    </w:p>
    <w:p w14:paraId="379C48D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2AAAF5EE">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26A600E4">
      <w:pPr>
        <w:pStyle w:val="20"/>
        <w:widowControl/>
        <w:tabs>
          <w:tab w:val="left" w:pos="426"/>
        </w:tabs>
        <w:autoSpaceDE/>
        <w:autoSpaceDN/>
        <w:spacing w:before="120" w:after="120" w:line="276" w:lineRule="auto"/>
        <w:ind w:left="0"/>
        <w:jc w:val="both"/>
        <w:rPr>
          <w:rFonts w:ascii="Arial" w:hAnsi="Arial" w:cs="Arial"/>
          <w:bCs/>
          <w:i/>
          <w:color w:val="FF0000"/>
        </w:rPr>
      </w:pPr>
    </w:p>
    <w:p w14:paraId="15EECDBD">
      <w:pPr>
        <w:pStyle w:val="20"/>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7E2677BF">
      <w:pPr>
        <w:pStyle w:val="20"/>
        <w:numPr>
          <w:ilvl w:val="0"/>
          <w:numId w:val="0"/>
        </w:numPr>
        <w:tabs>
          <w:tab w:val="left" w:pos="1783"/>
          <w:tab w:val="left" w:pos="2261"/>
        </w:tabs>
        <w:spacing w:before="1" w:line="276" w:lineRule="auto"/>
        <w:ind w:leftChars="-8" w:right="53" w:rightChars="24"/>
        <w:jc w:val="both"/>
        <w:rPr>
          <w:rFonts w:hint="default" w:ascii="Arial" w:hAnsi="Arial" w:cs="Arial"/>
          <w:bCs/>
          <w:iCs/>
          <w:color w:val="auto"/>
          <w:lang w:val="pt-BR"/>
        </w:rPr>
      </w:pPr>
    </w:p>
    <w:p w14:paraId="49034445">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6.1  A liquidação será realizada pela Secretaria de Fazenda, a partir do cumprimento das obrigações dispostas no Termo de Referência, em observância ao Decreto Municipal nº 2.493, de 07 de novembro de 2023.</w:t>
      </w:r>
    </w:p>
    <w:p w14:paraId="2E45BD8D">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6.2 Os bens deverão ser entregues nos destinos descritos na Seção 5 ou em local previamente estabelecido e sinalizado no momento do envio da nota de empenho.</w:t>
      </w:r>
    </w:p>
    <w:p w14:paraId="620A7A30">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 xml:space="preserve">6.3 </w:t>
      </w:r>
      <w:r>
        <w:rPr>
          <w:rFonts w:hint="default" w:ascii="Arial" w:hAnsi="Arial" w:cs="Arial"/>
          <w:b w:val="0"/>
          <w:bCs/>
          <w:iCs/>
          <w:color w:val="auto"/>
          <w:u w:val="single"/>
          <w:lang w:val="pt-BR"/>
        </w:rPr>
        <w:t>Da liquidação da despesa:</w:t>
      </w:r>
    </w:p>
    <w:p w14:paraId="3F22C0CB">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 xml:space="preserve">6.3.1 A liquidação será realizada pela Secretaria de Fazenda, a partir do cumprimento das obrigações elencadas no Termo de Referência, em obediência ao Decreto nº 2493, de 07 de novembro de 2023, </w:t>
      </w:r>
      <w:r>
        <w:rPr>
          <w:rFonts w:hint="default" w:ascii="Arial" w:hAnsi="Arial" w:cs="Arial"/>
          <w:b w:val="0"/>
          <w:bCs/>
          <w:iCs/>
          <w:color w:val="auto"/>
          <w:lang w:val="pt-BR"/>
        </w:rPr>
        <w:fldChar w:fldCharType="begin"/>
      </w:r>
      <w:r>
        <w:rPr>
          <w:rFonts w:hint="default" w:ascii="Arial" w:hAnsi="Arial" w:cs="Arial"/>
          <w:b w:val="0"/>
          <w:bCs/>
          <w:iCs/>
          <w:color w:val="auto"/>
          <w:lang w:val="pt-BR"/>
        </w:rPr>
        <w:instrText xml:space="preserve"> HYPERLINK "https://pmnf.rj.gov.br/paginas-centralizadas/9_64_Legislacoes.html" \h </w:instrText>
      </w:r>
      <w:r>
        <w:rPr>
          <w:rFonts w:hint="default" w:ascii="Arial" w:hAnsi="Arial" w:cs="Arial"/>
          <w:b w:val="0"/>
          <w:bCs/>
          <w:iCs/>
          <w:color w:val="auto"/>
          <w:lang w:val="pt-BR"/>
        </w:rPr>
        <w:fldChar w:fldCharType="separate"/>
      </w:r>
      <w:r>
        <w:rPr>
          <w:rFonts w:hint="default" w:ascii="Arial" w:hAnsi="Arial" w:cs="Arial"/>
          <w:b w:val="0"/>
          <w:bCs/>
          <w:iCs/>
          <w:color w:val="auto"/>
          <w:lang w:val="pt-BR"/>
        </w:rPr>
        <w:t>https://pmnf.rj.gov.br/paginas-centralizadas/9_64_Legislacoes.html.</w:t>
      </w:r>
      <w:r>
        <w:rPr>
          <w:rFonts w:hint="default" w:ascii="Arial" w:hAnsi="Arial" w:cs="Arial"/>
          <w:b w:val="0"/>
          <w:bCs/>
          <w:iCs/>
          <w:color w:val="auto"/>
          <w:lang w:val="pt-BR"/>
        </w:rPr>
        <w:fldChar w:fldCharType="end"/>
      </w:r>
    </w:p>
    <w:p w14:paraId="531D4F86">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6.3.2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r>
        <w:rPr>
          <w:rFonts w:hint="default" w:ascii="Arial" w:hAnsi="Arial" w:cs="Arial"/>
          <w:b w:val="0"/>
          <w:bCs/>
          <w:iCs/>
          <w:color w:val="auto"/>
          <w:lang w:val="pt-BR"/>
        </w:rPr>
        <w:fldChar w:fldCharType="begin"/>
      </w:r>
      <w:r>
        <w:rPr>
          <w:rFonts w:hint="default" w:ascii="Arial" w:hAnsi="Arial" w:cs="Arial"/>
          <w:b w:val="0"/>
          <w:bCs/>
          <w:iCs/>
          <w:color w:val="auto"/>
          <w:lang w:val="pt-BR"/>
        </w:rPr>
        <w:instrText xml:space="preserve"> HYPERLINK "https://pmnf.rj.gov.br/paginas-centralizadas/9_64_Legislacoes.html" \h </w:instrText>
      </w:r>
      <w:r>
        <w:rPr>
          <w:rFonts w:hint="default" w:ascii="Arial" w:hAnsi="Arial" w:cs="Arial"/>
          <w:b w:val="0"/>
          <w:bCs/>
          <w:iCs/>
          <w:color w:val="auto"/>
          <w:lang w:val="pt-BR"/>
        </w:rPr>
        <w:fldChar w:fldCharType="separate"/>
      </w:r>
      <w:r>
        <w:rPr>
          <w:rFonts w:hint="default" w:ascii="Arial" w:hAnsi="Arial" w:cs="Arial"/>
          <w:b w:val="0"/>
          <w:bCs/>
          <w:iCs/>
          <w:color w:val="auto"/>
          <w:lang w:val="pt-BR"/>
        </w:rPr>
        <w:t>https://pmnf.rj.gov.br/paginas-centralizadas/9_64_Legislacoes.html</w:t>
      </w:r>
      <w:r>
        <w:rPr>
          <w:rFonts w:hint="default" w:ascii="Arial" w:hAnsi="Arial" w:cs="Arial"/>
          <w:b w:val="0"/>
          <w:bCs/>
          <w:iCs/>
          <w:color w:val="auto"/>
          <w:lang w:val="pt-BR"/>
        </w:rPr>
        <w:fldChar w:fldCharType="end"/>
      </w:r>
    </w:p>
    <w:p w14:paraId="3F785A31">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u w:val="single"/>
          <w:lang w:val="pt-BR"/>
        </w:rPr>
      </w:pPr>
      <w:r>
        <w:rPr>
          <w:rFonts w:hint="default" w:ascii="Arial" w:hAnsi="Arial" w:cs="Arial"/>
          <w:b w:val="0"/>
          <w:bCs/>
          <w:iCs/>
          <w:color w:val="auto"/>
          <w:lang w:val="pt-BR"/>
        </w:rPr>
        <w:t xml:space="preserve">6.4 </w:t>
      </w:r>
      <w:r>
        <w:rPr>
          <w:rFonts w:hint="default" w:ascii="Arial" w:hAnsi="Arial" w:cs="Arial"/>
          <w:b w:val="0"/>
          <w:bCs/>
          <w:iCs/>
          <w:color w:val="auto"/>
          <w:u w:val="single"/>
          <w:lang w:val="pt-BR"/>
        </w:rPr>
        <w:t>Do pagamento da despesa:</w:t>
      </w:r>
    </w:p>
    <w:p w14:paraId="7C826FF8">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 xml:space="preserve">6.4.1 Para fins de pré-liquidação, o setor competente deverá verificar se a nota fiscal ou instrumento de cobrança equivalente apresentado expressa os elementos necessários e essenciais do documento, tais como: </w:t>
      </w:r>
    </w:p>
    <w:p w14:paraId="567063EB">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emissão em nome do FUNDO MUNICIPAL DE SAÚDE DE NOVA FRIBURGO, inscrito no CNPJ nº 11.399.442/0001-79, com endereço na Avenida Alberto Braune, nº 224, Sala 221, Centro, Nova Friburgo/RJ, CEP 28.613-001;</w:t>
      </w:r>
    </w:p>
    <w:p w14:paraId="49DA57E3">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O prazo de validade;</w:t>
      </w:r>
    </w:p>
    <w:p w14:paraId="46A7DC5C">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A data de emissão;</w:t>
      </w:r>
    </w:p>
    <w:p w14:paraId="5C93EFEA">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Dados bancários para o pagamento;</w:t>
      </w:r>
    </w:p>
    <w:p w14:paraId="0811A5EB">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Período de execução do Contrato;</w:t>
      </w:r>
    </w:p>
    <w:p w14:paraId="474F6C57">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O valor a pagar;</w:t>
      </w:r>
    </w:p>
    <w:p w14:paraId="27223A62">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Os dados do contrato e do empenho;</w:t>
      </w:r>
    </w:p>
    <w:p w14:paraId="68859275">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Do objeto fornecido e demais informações necessárias à regular pré-liquidação, liquidação e pagamento da despesa.</w:t>
      </w:r>
    </w:p>
    <w:p w14:paraId="67306844">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6.4.2 O pagamento será efetuado conforme estabelecido no Decreto Municipal nº 2493, de 07 de novembro de 2023, desde que as certidões listadas abaixo estejam dentro da validade:</w:t>
      </w:r>
    </w:p>
    <w:p w14:paraId="22C2A0B8">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Negativa de Débitos Trabalhistas; Fazenda Federal – abrange as contribuições sociais; FGTS; PGE – referente à Dívida Ativa Estadual; Municipal – referente ao ISS e Dívida Ativa; Estadual CND – referente ao ICMS.</w:t>
      </w:r>
    </w:p>
    <w:p w14:paraId="1A711E3D">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6.4.3 A Nota Fiscal deverá conter a identificação do Banco, número da Agência e da Conta Corrente, para que possibilite o CONTRATANTE efetuar o pagamento do valor devido;</w:t>
      </w:r>
    </w:p>
    <w:p w14:paraId="7CB70270">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6.4.4 Na ocorrência de rejeição da(s) Nota(s) Fiscal (s), motivada por erro ou incorreções, o prazo para pagamento estipulado acima passará a ser contado a partir da data de sua reapresentação.</w:t>
      </w:r>
    </w:p>
    <w:p w14:paraId="7E91281F">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6.4.5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4EE9BA2D">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r>
        <w:rPr>
          <w:rFonts w:hint="default" w:ascii="Arial" w:hAnsi="Arial" w:cs="Arial"/>
          <w:b w:val="0"/>
          <w:bCs/>
          <w:iCs/>
          <w:color w:val="auto"/>
          <w:lang w:val="pt-BR"/>
        </w:rPr>
        <w:t>6.4.6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722E477B">
      <w:pPr>
        <w:pStyle w:val="20"/>
        <w:widowControl/>
        <w:numPr>
          <w:ilvl w:val="0"/>
          <w:numId w:val="0"/>
        </w:numPr>
        <w:tabs>
          <w:tab w:val="left" w:pos="426"/>
        </w:tabs>
        <w:autoSpaceDE/>
        <w:autoSpaceDN/>
        <w:spacing w:before="120" w:after="120" w:line="276" w:lineRule="auto"/>
        <w:ind w:leftChars="0"/>
        <w:jc w:val="both"/>
        <w:rPr>
          <w:rFonts w:hint="default" w:ascii="Arial" w:hAnsi="Arial" w:cs="Arial"/>
          <w:b w:val="0"/>
          <w:bCs/>
          <w:iCs/>
          <w:color w:val="auto"/>
          <w:lang w:val="pt-BR"/>
        </w:rPr>
      </w:pPr>
    </w:p>
    <w:p w14:paraId="0C918E79">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44B425A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392FCA38">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54AC8FD2">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0D7FC39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C08AD8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Nas aferições finais, o(s) índice(s) utilizado(s) para reajuste será(ão), obrigatoriamente, o(s) definitivo(s).</w:t>
      </w:r>
    </w:p>
    <w:p w14:paraId="272B9DCB">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1E00DF38">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7C675535">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rPr>
      </w:pPr>
      <w:r>
        <w:rPr>
          <w:rFonts w:ascii="Arial" w:hAnsi="Arial" w:cs="Arial"/>
          <w:bCs/>
          <w:iCs/>
        </w:rPr>
        <w:t>O reajuste será realizado por apostilamento.</w:t>
      </w:r>
    </w:p>
    <w:p w14:paraId="48BDD8B0">
      <w:pPr>
        <w:widowControl/>
        <w:tabs>
          <w:tab w:val="left" w:pos="426"/>
        </w:tabs>
        <w:autoSpaceDE/>
        <w:autoSpaceDN/>
        <w:spacing w:before="120" w:after="120" w:line="276" w:lineRule="auto"/>
        <w:jc w:val="both"/>
        <w:rPr>
          <w:rFonts w:ascii="Arial" w:hAnsi="Arial" w:cs="Arial"/>
          <w:bCs/>
          <w:i/>
          <w:color w:val="FF0000"/>
        </w:rPr>
      </w:pPr>
    </w:p>
    <w:p w14:paraId="145EAE5F">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470EE707">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21EE45FB">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3D627ECD">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548FC40F">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453CA510">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FE22E8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7F54AF2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26D516E5">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007551D8">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5B7EF9E">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B1901A2">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5232B10">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DD3DDBB">
      <w:pPr>
        <w:pStyle w:val="20"/>
        <w:widowControl/>
        <w:tabs>
          <w:tab w:val="left" w:pos="426"/>
        </w:tabs>
        <w:autoSpaceDE/>
        <w:autoSpaceDN/>
        <w:spacing w:before="120" w:after="120" w:line="276" w:lineRule="auto"/>
        <w:ind w:left="862"/>
        <w:jc w:val="both"/>
        <w:rPr>
          <w:rFonts w:ascii="Arial" w:hAnsi="Arial" w:cs="Arial"/>
          <w:bCs/>
          <w:iCs/>
          <w:lang w:val="pt-BR"/>
        </w:rPr>
      </w:pPr>
    </w:p>
    <w:p w14:paraId="2870ECD1">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0E22BB7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4441C6F0">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3BB6A08">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0"/>
          <w:rFonts w:ascii="Arial" w:hAnsi="Arial" w:cs="Arial"/>
        </w:rPr>
        <w:t>Lei nº 8.078, de 1990</w:t>
      </w:r>
      <w:r>
        <w:rPr>
          <w:rStyle w:val="10"/>
          <w:rFonts w:ascii="Arial" w:hAnsi="Arial" w:cs="Arial"/>
        </w:rPr>
        <w:fldChar w:fldCharType="end"/>
      </w:r>
      <w:r>
        <w:rPr>
          <w:rFonts w:ascii="Arial" w:hAnsi="Arial" w:cs="Arial"/>
        </w:rPr>
        <w:t>);</w:t>
      </w:r>
    </w:p>
    <w:p w14:paraId="297BA263">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00F86157">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10"/>
          <w:rFonts w:ascii="Arial" w:hAnsi="Arial" w:cs="Arial"/>
        </w:rPr>
        <w:t>art. 137, II, da Lei n.º 14.133, de 2021</w:t>
      </w:r>
      <w:r>
        <w:rPr>
          <w:rStyle w:val="10"/>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146B311F">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628A1B8">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4DE982">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66F3866">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2509D893">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6E8FE71B">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5E93A881">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47DE32CE">
      <w:pPr>
        <w:pStyle w:val="46"/>
        <w:numPr>
          <w:ilvl w:val="1"/>
          <w:numId w:val="3"/>
        </w:numPr>
        <w:ind w:left="1020" w:leftChars="0" w:firstLineChars="0"/>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0"/>
          <w:sz w:val="22"/>
          <w:szCs w:val="22"/>
        </w:rPr>
        <w:t>art. 116, da Lei n.º 14.133, de 2021</w:t>
      </w:r>
      <w:r>
        <w:rPr>
          <w:rStyle w:val="10"/>
          <w:sz w:val="22"/>
          <w:szCs w:val="22"/>
        </w:rPr>
        <w:fldChar w:fldCharType="end"/>
      </w:r>
      <w:r>
        <w:rPr>
          <w:sz w:val="22"/>
          <w:szCs w:val="22"/>
        </w:rPr>
        <w:t>);</w:t>
      </w:r>
    </w:p>
    <w:p w14:paraId="498CAA99">
      <w:pPr>
        <w:pStyle w:val="46"/>
        <w:numPr>
          <w:ilvl w:val="1"/>
          <w:numId w:val="3"/>
        </w:numPr>
        <w:ind w:left="1020" w:leftChars="0" w:firstLineChars="0"/>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0"/>
          <w:sz w:val="22"/>
          <w:szCs w:val="22"/>
        </w:rPr>
        <w:t>art. 116, parágrafo único, da Lei n.º 14.133, de 2021</w:t>
      </w:r>
      <w:r>
        <w:rPr>
          <w:rStyle w:val="10"/>
          <w:sz w:val="22"/>
          <w:szCs w:val="22"/>
        </w:rPr>
        <w:fldChar w:fldCharType="end"/>
      </w:r>
      <w:r>
        <w:rPr>
          <w:sz w:val="22"/>
          <w:szCs w:val="22"/>
        </w:rPr>
        <w:t>);</w:t>
      </w:r>
    </w:p>
    <w:p w14:paraId="520D3538">
      <w:pPr>
        <w:pStyle w:val="46"/>
        <w:numPr>
          <w:ilvl w:val="1"/>
          <w:numId w:val="3"/>
        </w:numPr>
        <w:ind w:left="1020" w:leftChars="0" w:firstLineChars="0"/>
        <w:rPr>
          <w:sz w:val="22"/>
          <w:szCs w:val="22"/>
        </w:rPr>
      </w:pPr>
      <w:r>
        <w:rPr>
          <w:sz w:val="22"/>
          <w:szCs w:val="22"/>
        </w:rPr>
        <w:t xml:space="preserve">Guardar sigilo sobre todas as informações obtidas em decorrência do cumprimento do contrato; </w:t>
      </w:r>
    </w:p>
    <w:p w14:paraId="79634805">
      <w:pPr>
        <w:pStyle w:val="46"/>
        <w:numPr>
          <w:ilvl w:val="1"/>
          <w:numId w:val="3"/>
        </w:numPr>
        <w:ind w:left="1020" w:leftChars="0" w:firstLineChars="0"/>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0"/>
          <w:sz w:val="22"/>
          <w:szCs w:val="22"/>
        </w:rPr>
        <w:t>art. 124, II, d, da Lei nº 14.133, de 2021.</w:t>
      </w:r>
      <w:r>
        <w:rPr>
          <w:rStyle w:val="10"/>
          <w:sz w:val="22"/>
          <w:szCs w:val="22"/>
        </w:rPr>
        <w:fldChar w:fldCharType="end"/>
      </w:r>
    </w:p>
    <w:p w14:paraId="01DD1330">
      <w:pPr>
        <w:pStyle w:val="46"/>
        <w:numPr>
          <w:ilvl w:val="1"/>
          <w:numId w:val="3"/>
        </w:numPr>
        <w:ind w:left="1020" w:leftChars="0" w:firstLineChars="0"/>
        <w:rPr>
          <w:sz w:val="22"/>
          <w:szCs w:val="22"/>
        </w:rPr>
      </w:pPr>
      <w:r>
        <w:rPr>
          <w:sz w:val="22"/>
          <w:szCs w:val="22"/>
        </w:rPr>
        <w:t>Cumprir, além dos postulados legais vigentes de âmbito federal, estadual ou municipal, as normas de segurança do contratante.</w:t>
      </w:r>
    </w:p>
    <w:p w14:paraId="277359C5">
      <w:pPr>
        <w:pStyle w:val="20"/>
        <w:tabs>
          <w:tab w:val="left" w:pos="284"/>
        </w:tabs>
        <w:spacing w:line="276" w:lineRule="auto"/>
        <w:ind w:left="0"/>
        <w:rPr>
          <w:rFonts w:ascii="Arial" w:hAnsi="Arial" w:cs="Arial" w:eastAsiaTheme="majorEastAsia"/>
          <w:b/>
          <w:bCs/>
          <w:lang w:val="pt-BR" w:eastAsia="pt-BR"/>
        </w:rPr>
      </w:pPr>
    </w:p>
    <w:p w14:paraId="3030BAE7">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4553ED76">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 xml:space="preserve">  Não haverá exigência de garantia contratual da execução.</w:t>
      </w:r>
    </w:p>
    <w:p w14:paraId="230108CF">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6B44B7B8">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399F0F0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3FCCDE5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6F537F9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3AE416C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B51C4C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50254AB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7A760F0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34D33868">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0"/>
          <w:rFonts w:ascii="Arial" w:hAnsi="Arial" w:eastAsia="Arial" w:cs="Arial"/>
        </w:rPr>
        <w:t>art. 5º da Lei nº 12.846, de 1º de agosto de 2013</w:t>
      </w:r>
      <w:r>
        <w:rPr>
          <w:rStyle w:val="10"/>
          <w:rFonts w:ascii="Arial" w:hAnsi="Arial" w:eastAsia="Arial" w:cs="Arial"/>
        </w:rPr>
        <w:fldChar w:fldCharType="end"/>
      </w:r>
      <w:r>
        <w:rPr>
          <w:rFonts w:ascii="Arial" w:hAnsi="Arial" w:eastAsia="Arial" w:cs="Arial"/>
        </w:rPr>
        <w:t>.</w:t>
      </w:r>
    </w:p>
    <w:p w14:paraId="3D82F79F">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2E13027E">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0"/>
          <w:rFonts w:ascii="Arial" w:hAnsi="Arial" w:eastAsia="Arial" w:cs="Arial"/>
        </w:rPr>
        <w:t xml:space="preserve">art. 156, §2º, da </w:t>
      </w:r>
      <w:bookmarkStart w:id="15" w:name="_Hlk114504069"/>
      <w:r>
        <w:rPr>
          <w:rStyle w:val="10"/>
          <w:rFonts w:ascii="Arial" w:hAnsi="Arial" w:eastAsia="Arial" w:cs="Arial"/>
        </w:rPr>
        <w:t>Lei nº 14.133, de 2021</w:t>
      </w:r>
      <w:bookmarkEnd w:id="15"/>
      <w:r>
        <w:rPr>
          <w:rStyle w:val="10"/>
          <w:rFonts w:ascii="Arial" w:hAnsi="Arial" w:eastAsia="Arial" w:cs="Arial"/>
        </w:rPr>
        <w:fldChar w:fldCharType="end"/>
      </w:r>
      <w:r>
        <w:rPr>
          <w:rFonts w:ascii="Arial" w:hAnsi="Arial" w:eastAsia="Arial" w:cs="Arial"/>
        </w:rPr>
        <w:t>);</w:t>
      </w:r>
    </w:p>
    <w:p w14:paraId="25C65456">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0"/>
          <w:rFonts w:ascii="Arial" w:hAnsi="Arial" w:eastAsia="Arial" w:cs="Arial"/>
        </w:rPr>
        <w:t>art. 156, § 4º, da Lei nº 14.133, de 2021</w:t>
      </w:r>
      <w:r>
        <w:rPr>
          <w:rStyle w:val="10"/>
          <w:rFonts w:ascii="Arial" w:hAnsi="Arial" w:eastAsia="Arial" w:cs="Arial"/>
        </w:rPr>
        <w:fldChar w:fldCharType="end"/>
      </w:r>
      <w:r>
        <w:rPr>
          <w:rFonts w:ascii="Arial" w:hAnsi="Arial" w:eastAsia="Arial" w:cs="Arial"/>
        </w:rPr>
        <w:t>);</w:t>
      </w:r>
    </w:p>
    <w:p w14:paraId="58E7284C">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0"/>
          <w:rFonts w:ascii="Arial" w:hAnsi="Arial" w:eastAsia="Arial" w:cs="Arial"/>
        </w:rPr>
        <w:t>art. 156, §5º, da Lei nº 14.133, de 2021</w:t>
      </w:r>
      <w:r>
        <w:rPr>
          <w:rStyle w:val="10"/>
          <w:rFonts w:ascii="Arial" w:hAnsi="Arial" w:eastAsia="Arial" w:cs="Arial"/>
        </w:rPr>
        <w:fldChar w:fldCharType="end"/>
      </w:r>
      <w:r>
        <w:rPr>
          <w:rFonts w:ascii="Arial" w:hAnsi="Arial" w:eastAsia="Arial" w:cs="Arial"/>
        </w:rPr>
        <w:t>).</w:t>
      </w:r>
    </w:p>
    <w:p w14:paraId="7D790D7D">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037296D3">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214C9625">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30E32B48">
      <w:pPr>
        <w:pStyle w:val="20"/>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01CD8884">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0BD51EDB">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6A35137B">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295CA835">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3346A1C9">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6D9CC79C">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0"/>
          <w:rFonts w:ascii="Arial" w:hAnsi="Arial" w:cs="Arial"/>
        </w:rPr>
        <w:t>art. 156, §9º, da Lei nº 14.133, de 2021</w:t>
      </w:r>
      <w:r>
        <w:rPr>
          <w:rStyle w:val="10"/>
          <w:rFonts w:ascii="Arial" w:hAnsi="Arial" w:cs="Arial"/>
        </w:rPr>
        <w:fldChar w:fldCharType="end"/>
      </w:r>
      <w:r>
        <w:rPr>
          <w:rFonts w:ascii="Arial" w:hAnsi="Arial" w:cs="Arial"/>
        </w:rPr>
        <w:t>)</w:t>
      </w:r>
    </w:p>
    <w:p w14:paraId="188B7329">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ascii="Arial" w:hAnsi="Arial" w:cs="Arial"/>
        </w:rPr>
        <w:t>art. 156, §7º, da Lei nº 14.133, de 2021</w:t>
      </w:r>
      <w:r>
        <w:rPr>
          <w:rStyle w:val="10"/>
          <w:rFonts w:ascii="Arial" w:hAnsi="Arial" w:cs="Arial"/>
        </w:rPr>
        <w:fldChar w:fldCharType="end"/>
      </w:r>
      <w:r>
        <w:rPr>
          <w:rFonts w:ascii="Arial" w:hAnsi="Arial" w:cs="Arial"/>
        </w:rPr>
        <w:t>).</w:t>
      </w:r>
    </w:p>
    <w:p w14:paraId="31A1CE72">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ascii="Arial" w:hAnsi="Arial" w:cs="Arial"/>
        </w:rPr>
        <w:t>art. 157, da Lei nº 14.133, de 2021</w:t>
      </w:r>
      <w:r>
        <w:rPr>
          <w:rStyle w:val="10"/>
          <w:rFonts w:ascii="Arial" w:hAnsi="Arial" w:cs="Arial"/>
        </w:rPr>
        <w:fldChar w:fldCharType="end"/>
      </w:r>
      <w:r>
        <w:rPr>
          <w:rFonts w:ascii="Arial" w:hAnsi="Arial" w:cs="Arial"/>
        </w:rPr>
        <w:t>)</w:t>
      </w:r>
    </w:p>
    <w:p w14:paraId="5B5671B7">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ascii="Arial" w:hAnsi="Arial" w:cs="Arial"/>
        </w:rPr>
        <w:t>art. 156, §8º, da Lei nº 14.133, de 2021</w:t>
      </w:r>
      <w:r>
        <w:rPr>
          <w:rStyle w:val="10"/>
          <w:rFonts w:ascii="Arial" w:hAnsi="Arial" w:cs="Arial"/>
        </w:rPr>
        <w:fldChar w:fldCharType="end"/>
      </w:r>
      <w:r>
        <w:rPr>
          <w:rFonts w:ascii="Arial" w:hAnsi="Arial" w:cs="Arial"/>
        </w:rPr>
        <w:t>).</w:t>
      </w:r>
    </w:p>
    <w:p w14:paraId="7ECD8B6E">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2DD3379">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0"/>
          <w:rFonts w:ascii="Arial" w:hAnsi="Arial" w:cs="Arial"/>
        </w:rPr>
        <w:t>art. 158 da Lei nº 14.133, de 2021</w:t>
      </w:r>
      <w:r>
        <w:rPr>
          <w:rStyle w:val="10"/>
          <w:rFonts w:ascii="Arial" w:hAnsi="Arial" w:cs="Arial"/>
        </w:rPr>
        <w:fldChar w:fldCharType="end"/>
      </w:r>
      <w:r>
        <w:rPr>
          <w:rFonts w:ascii="Arial" w:hAnsi="Arial" w:cs="Arial"/>
        </w:rPr>
        <w:t>, para as penalidades de impedimento de licitar e contratar e de declaração de inidoneidade para licitar ou contratar.</w:t>
      </w:r>
    </w:p>
    <w:p w14:paraId="71E894D9">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ascii="Arial" w:hAnsi="Arial" w:cs="Arial"/>
        </w:rPr>
        <w:t>art. 156, §1º, da Lei nº 14.133, de 2021</w:t>
      </w:r>
      <w:r>
        <w:rPr>
          <w:rStyle w:val="10"/>
          <w:rFonts w:ascii="Arial" w:hAnsi="Arial" w:cs="Arial"/>
        </w:rPr>
        <w:fldChar w:fldCharType="end"/>
      </w:r>
      <w:r>
        <w:rPr>
          <w:rFonts w:ascii="Arial" w:hAnsi="Arial" w:cs="Arial"/>
        </w:rPr>
        <w:t>):</w:t>
      </w:r>
    </w:p>
    <w:p w14:paraId="3C923DC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083B0107">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2FED295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489D9444">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D3F6239">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1E43E04E">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ascii="Arial" w:hAnsi="Arial" w:cs="Arial"/>
        </w:rPr>
        <w:t>Lei nº 14.133, de 2021</w:t>
      </w:r>
      <w:r>
        <w:rPr>
          <w:rStyle w:val="10"/>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ascii="Arial" w:hAnsi="Arial" w:cs="Arial"/>
        </w:rPr>
        <w:t>Lei nº 12.846, de 2013</w:t>
      </w:r>
      <w:r>
        <w:rPr>
          <w:rStyle w:val="10"/>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0"/>
          <w:rFonts w:ascii="Arial" w:hAnsi="Arial" w:cs="Arial"/>
        </w:rPr>
        <w:t>art. 159</w:t>
      </w:r>
      <w:r>
        <w:rPr>
          <w:rStyle w:val="10"/>
          <w:rFonts w:ascii="Arial" w:hAnsi="Arial" w:cs="Arial"/>
        </w:rPr>
        <w:fldChar w:fldCharType="end"/>
      </w:r>
      <w:r>
        <w:rPr>
          <w:rFonts w:ascii="Arial" w:hAnsi="Arial" w:cs="Arial"/>
        </w:rPr>
        <w:t>).</w:t>
      </w:r>
    </w:p>
    <w:p w14:paraId="6DF0DF42">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ascii="Arial" w:hAnsi="Arial" w:cs="Arial"/>
        </w:rPr>
        <w:t>art. 160, da Lei nº 14.133, de 2021</w:t>
      </w:r>
      <w:r>
        <w:rPr>
          <w:rStyle w:val="10"/>
          <w:rFonts w:ascii="Arial" w:hAnsi="Arial" w:cs="Arial"/>
        </w:rPr>
        <w:fldChar w:fldCharType="end"/>
      </w:r>
      <w:r>
        <w:rPr>
          <w:rFonts w:ascii="Arial" w:hAnsi="Arial" w:cs="Arial"/>
        </w:rPr>
        <w:t>).</w:t>
      </w:r>
    </w:p>
    <w:p w14:paraId="1A770589">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ascii="Arial" w:hAnsi="Arial" w:cs="Arial"/>
        </w:rPr>
        <w:t>Art. 161, da Lei nº 14.133, de 2021</w:t>
      </w:r>
      <w:r>
        <w:rPr>
          <w:rStyle w:val="10"/>
          <w:rFonts w:ascii="Arial" w:hAnsi="Arial" w:cs="Arial"/>
        </w:rPr>
        <w:fldChar w:fldCharType="end"/>
      </w:r>
      <w:r>
        <w:rPr>
          <w:rFonts w:ascii="Arial" w:hAnsi="Arial" w:cs="Arial"/>
        </w:rPr>
        <w:t>).</w:t>
      </w:r>
    </w:p>
    <w:p w14:paraId="272E7095">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0"/>
          <w:rFonts w:ascii="Arial" w:hAnsi="Arial" w:cs="Arial"/>
        </w:rPr>
        <w:t>art. 163 da Lei nº 14.133/21</w:t>
      </w:r>
      <w:r>
        <w:rPr>
          <w:rStyle w:val="10"/>
          <w:rFonts w:ascii="Arial" w:hAnsi="Arial" w:cs="Arial"/>
        </w:rPr>
        <w:fldChar w:fldCharType="end"/>
      </w:r>
      <w:r>
        <w:rPr>
          <w:rFonts w:ascii="Arial" w:hAnsi="Arial" w:cs="Arial"/>
        </w:rPr>
        <w:t>.</w:t>
      </w:r>
    </w:p>
    <w:p w14:paraId="6E51DA00">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0"/>
          <w:rFonts w:ascii="Arial" w:hAnsi="Arial" w:cs="Arial"/>
        </w:rPr>
        <w:t>Normativa SEGES/ME nº 26, de 13 de abril de 2022</w:t>
      </w:r>
      <w:r>
        <w:rPr>
          <w:rStyle w:val="10"/>
          <w:rFonts w:ascii="Arial" w:hAnsi="Arial" w:cs="Arial"/>
        </w:rPr>
        <w:fldChar w:fldCharType="end"/>
      </w:r>
      <w:r>
        <w:rPr>
          <w:rFonts w:ascii="Arial" w:hAnsi="Arial" w:cs="Arial"/>
        </w:rPr>
        <w:t xml:space="preserve">. </w:t>
      </w:r>
    </w:p>
    <w:p w14:paraId="3C6FA5D2">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XIX</w:t>
      </w:r>
      <w:r>
        <w:rPr>
          <w:rStyle w:val="10"/>
          <w:rFonts w:ascii="Arial" w:hAnsi="Arial" w:cs="Arial"/>
          <w:sz w:val="22"/>
          <w:szCs w:val="22"/>
        </w:rPr>
        <w:fldChar w:fldCharType="end"/>
      </w:r>
      <w:r>
        <w:rPr>
          <w:rFonts w:ascii="Arial" w:hAnsi="Arial" w:cs="Arial"/>
          <w:sz w:val="22"/>
          <w:szCs w:val="22"/>
        </w:rPr>
        <w:t xml:space="preserve">) </w:t>
      </w:r>
    </w:p>
    <w:p w14:paraId="51B5B3E1">
      <w:pPr>
        <w:pStyle w:val="20"/>
        <w:widowControl/>
        <w:numPr>
          <w:ilvl w:val="1"/>
          <w:numId w:val="3"/>
        </w:numPr>
        <w:tabs>
          <w:tab w:val="left" w:pos="709"/>
        </w:tabs>
        <w:autoSpaceDE/>
        <w:autoSpaceDN/>
        <w:spacing w:before="120" w:after="120" w:line="276" w:lineRule="auto"/>
        <w:ind w:left="660" w:leftChars="0" w:firstLine="0" w:firstLineChars="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462C7EC8">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44C0D366">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Quando a não conclusão do contrato referida no item anterior decorrer de culpa do contratado:</w:t>
      </w:r>
    </w:p>
    <w:p w14:paraId="7E49A20D">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D1F8D48">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7951D6C7">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0"/>
          <w:rFonts w:ascii="Arial" w:hAnsi="Arial" w:cs="Arial"/>
        </w:rPr>
        <w:t>artigo 137 da Lei nº 14.133/21</w:t>
      </w:r>
      <w:r>
        <w:rPr>
          <w:rStyle w:val="10"/>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729A99A0">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0"/>
          <w:rFonts w:ascii="Arial" w:hAnsi="Arial" w:cs="Arial"/>
        </w:rPr>
        <w:t>artigos 138 e 139</w:t>
      </w:r>
      <w:r>
        <w:rPr>
          <w:rStyle w:val="10"/>
          <w:rFonts w:ascii="Arial" w:hAnsi="Arial" w:cs="Arial"/>
        </w:rPr>
        <w:fldChar w:fldCharType="end"/>
      </w:r>
      <w:r>
        <w:rPr>
          <w:rFonts w:ascii="Arial" w:hAnsi="Arial" w:cs="Arial"/>
        </w:rPr>
        <w:t xml:space="preserve"> da mesma Lei.</w:t>
      </w:r>
    </w:p>
    <w:p w14:paraId="12A2F3F0">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53D908F">
      <w:pPr>
        <w:pStyle w:val="20"/>
        <w:widowControl/>
        <w:numPr>
          <w:ilvl w:val="3"/>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3CC43AFE">
      <w:pPr>
        <w:pStyle w:val="20"/>
        <w:widowControl/>
        <w:numPr>
          <w:ilvl w:val="1"/>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O termo de extinção, sempre que possível, será precedido:</w:t>
      </w:r>
    </w:p>
    <w:p w14:paraId="28266C2D">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Balanço dos eventos contratuais já cumpridos ou parcialmente cumpridos;</w:t>
      </w:r>
    </w:p>
    <w:p w14:paraId="41900FDC">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Relação dos pagamentos já efetuados e ainda devidos;</w:t>
      </w:r>
    </w:p>
    <w:p w14:paraId="4D8D2055">
      <w:pPr>
        <w:pStyle w:val="20"/>
        <w:widowControl/>
        <w:numPr>
          <w:ilvl w:val="2"/>
          <w:numId w:val="3"/>
        </w:numPr>
        <w:tabs>
          <w:tab w:val="left" w:pos="426"/>
        </w:tabs>
        <w:autoSpaceDE/>
        <w:autoSpaceDN/>
        <w:spacing w:before="120" w:after="120" w:line="276" w:lineRule="auto"/>
        <w:ind w:left="660" w:leftChars="300" w:firstLine="0" w:firstLineChars="0"/>
        <w:jc w:val="both"/>
        <w:rPr>
          <w:rFonts w:ascii="Arial" w:hAnsi="Arial" w:cs="Arial"/>
        </w:rPr>
      </w:pPr>
      <w:r>
        <w:rPr>
          <w:rFonts w:ascii="Arial" w:hAnsi="Arial" w:cs="Arial"/>
        </w:rPr>
        <w:t>Indenizações e multas.</w:t>
      </w:r>
    </w:p>
    <w:p w14:paraId="31D08F69">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0"/>
          <w:rFonts w:ascii="Arial" w:hAnsi="Arial" w:cs="Arial"/>
        </w:rPr>
        <w:t xml:space="preserve">art. 131, </w:t>
      </w:r>
      <w:r>
        <w:rPr>
          <w:rStyle w:val="10"/>
          <w:rFonts w:ascii="Arial" w:hAnsi="Arial" w:cs="Arial"/>
          <w:i/>
          <w:iCs/>
        </w:rPr>
        <w:t xml:space="preserve">caput, </w:t>
      </w:r>
      <w:r>
        <w:rPr>
          <w:rStyle w:val="10"/>
          <w:rFonts w:ascii="Arial" w:hAnsi="Arial" w:cs="Arial"/>
        </w:rPr>
        <w:t>da Lei n.º 14.133, de 2021).</w:t>
      </w:r>
      <w:r>
        <w:rPr>
          <w:rStyle w:val="10"/>
          <w:rFonts w:ascii="Arial" w:hAnsi="Arial" w:cs="Arial"/>
        </w:rPr>
        <w:fldChar w:fldCharType="end"/>
      </w:r>
      <w:r>
        <w:rPr>
          <w:rFonts w:ascii="Arial" w:hAnsi="Arial" w:cs="Arial"/>
        </w:rPr>
        <w:t xml:space="preserve"> </w:t>
      </w:r>
    </w:p>
    <w:p w14:paraId="3333CC18">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5FB3676">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VIII</w:t>
      </w:r>
      <w:r>
        <w:rPr>
          <w:rStyle w:val="10"/>
          <w:rFonts w:ascii="Arial" w:hAnsi="Arial" w:cs="Arial"/>
          <w:sz w:val="22"/>
          <w:szCs w:val="22"/>
        </w:rPr>
        <w:fldChar w:fldCharType="end"/>
      </w:r>
      <w:r>
        <w:rPr>
          <w:rFonts w:ascii="Arial" w:hAnsi="Arial" w:cs="Arial"/>
          <w:sz w:val="22"/>
          <w:szCs w:val="22"/>
        </w:rPr>
        <w:t>)</w:t>
      </w:r>
    </w:p>
    <w:p w14:paraId="01511DEB">
      <w:pPr>
        <w:pStyle w:val="35"/>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62"/>
        <w:tblW w:w="9450" w:type="dxa"/>
        <w:tblInd w:w="-40" w:type="dxa"/>
        <w:tblLayout w:type="fixed"/>
        <w:tblCellMar>
          <w:top w:w="0" w:type="dxa"/>
          <w:left w:w="5" w:type="dxa"/>
          <w:bottom w:w="0" w:type="dxa"/>
          <w:right w:w="5" w:type="dxa"/>
        </w:tblCellMar>
      </w:tblPr>
      <w:tblGrid>
        <w:gridCol w:w="3012"/>
        <w:gridCol w:w="2673"/>
        <w:gridCol w:w="1387"/>
        <w:gridCol w:w="2378"/>
      </w:tblGrid>
      <w:tr w14:paraId="612D7FE5">
        <w:tblPrEx>
          <w:tblCellMar>
            <w:top w:w="0" w:type="dxa"/>
            <w:left w:w="5" w:type="dxa"/>
            <w:bottom w:w="0" w:type="dxa"/>
            <w:right w:w="5" w:type="dxa"/>
          </w:tblCellMar>
        </w:tblPrEx>
        <w:trPr>
          <w:trHeight w:val="560" w:hRule="atLeast"/>
        </w:trPr>
        <w:tc>
          <w:tcPr>
            <w:tcW w:w="3012" w:type="dxa"/>
            <w:tcBorders>
              <w:top w:val="single" w:color="000000" w:sz="4" w:space="0"/>
              <w:left w:val="single" w:color="000000" w:sz="4" w:space="0"/>
              <w:bottom w:val="single" w:color="000000" w:sz="4" w:space="0"/>
              <w:right w:val="single" w:color="000000" w:sz="4" w:space="0"/>
            </w:tcBorders>
            <w:vAlign w:val="center"/>
          </w:tcPr>
          <w:p w14:paraId="5200E397">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2673" w:type="dxa"/>
            <w:tcBorders>
              <w:top w:val="single" w:color="000000" w:sz="4" w:space="0"/>
              <w:left w:val="single" w:color="000000" w:sz="4" w:space="0"/>
              <w:bottom w:val="single" w:color="000000" w:sz="4" w:space="0"/>
              <w:right w:val="single" w:color="000000" w:sz="4" w:space="0"/>
            </w:tcBorders>
            <w:vAlign w:val="center"/>
          </w:tcPr>
          <w:p w14:paraId="3E41C79B">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387" w:type="dxa"/>
            <w:tcBorders>
              <w:top w:val="single" w:color="000000" w:sz="4" w:space="0"/>
              <w:left w:val="single" w:color="000000" w:sz="4" w:space="0"/>
              <w:bottom w:val="single" w:color="000000" w:sz="4" w:space="0"/>
              <w:right w:val="single" w:color="000000" w:sz="4" w:space="0"/>
            </w:tcBorders>
            <w:vAlign w:val="center"/>
          </w:tcPr>
          <w:p w14:paraId="6AA99DF7">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2378" w:type="dxa"/>
            <w:tcBorders>
              <w:top w:val="single" w:color="000000" w:sz="4" w:space="0"/>
              <w:left w:val="single" w:color="000000" w:sz="4" w:space="0"/>
              <w:bottom w:val="single" w:color="000000" w:sz="4" w:space="0"/>
              <w:right w:val="single" w:color="000000" w:sz="4" w:space="0"/>
            </w:tcBorders>
            <w:vAlign w:val="center"/>
          </w:tcPr>
          <w:p w14:paraId="2A9F6FB2">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14:paraId="6D286B65">
        <w:tblPrEx>
          <w:tblCellMar>
            <w:top w:w="0" w:type="dxa"/>
            <w:left w:w="5" w:type="dxa"/>
            <w:bottom w:w="0" w:type="dxa"/>
            <w:right w:w="5" w:type="dxa"/>
          </w:tblCellMar>
        </w:tblPrEx>
        <w:trPr>
          <w:trHeight w:val="562" w:hRule="atLeast"/>
        </w:trPr>
        <w:tc>
          <w:tcPr>
            <w:tcW w:w="3012" w:type="dxa"/>
            <w:tcBorders>
              <w:top w:val="single" w:color="000000" w:sz="4" w:space="0"/>
              <w:left w:val="single" w:color="000000" w:sz="4" w:space="0"/>
              <w:bottom w:val="single" w:color="000000" w:sz="4" w:space="0"/>
              <w:right w:val="single" w:color="000000" w:sz="4" w:space="0"/>
            </w:tcBorders>
            <w:vAlign w:val="center"/>
          </w:tcPr>
          <w:p w14:paraId="752A8173">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Saúde Bucal</w:t>
            </w:r>
          </w:p>
        </w:tc>
        <w:tc>
          <w:tcPr>
            <w:tcW w:w="2673" w:type="dxa"/>
            <w:tcBorders>
              <w:top w:val="single" w:color="000000" w:sz="4" w:space="0"/>
              <w:left w:val="single" w:color="000000" w:sz="4" w:space="0"/>
              <w:bottom w:val="single" w:color="000000" w:sz="4" w:space="0"/>
              <w:right w:val="single" w:color="000000" w:sz="4" w:space="0"/>
            </w:tcBorders>
            <w:vAlign w:val="center"/>
          </w:tcPr>
          <w:p w14:paraId="4C886AA5">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36001.10.301.1003.2.136</w:t>
            </w:r>
          </w:p>
        </w:tc>
        <w:tc>
          <w:tcPr>
            <w:tcW w:w="1387" w:type="dxa"/>
            <w:tcBorders>
              <w:top w:val="single" w:color="000000" w:sz="4" w:space="0"/>
              <w:left w:val="single" w:color="000000" w:sz="4" w:space="0"/>
              <w:bottom w:val="single" w:color="000000" w:sz="4" w:space="0"/>
              <w:right w:val="single" w:color="000000" w:sz="4" w:space="0"/>
            </w:tcBorders>
            <w:vAlign w:val="center"/>
          </w:tcPr>
          <w:p w14:paraId="44E8D300">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1600</w:t>
            </w:r>
          </w:p>
        </w:tc>
        <w:tc>
          <w:tcPr>
            <w:tcW w:w="2378" w:type="dxa"/>
            <w:tcBorders>
              <w:top w:val="single" w:color="000000" w:sz="4" w:space="0"/>
              <w:left w:val="single" w:color="000000" w:sz="4" w:space="0"/>
              <w:bottom w:val="single" w:color="000000" w:sz="4" w:space="0"/>
              <w:right w:val="single" w:color="000000" w:sz="4" w:space="0"/>
            </w:tcBorders>
            <w:vAlign w:val="center"/>
          </w:tcPr>
          <w:p w14:paraId="208E7FFB">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44.90.52.02</w:t>
            </w:r>
          </w:p>
          <w:p w14:paraId="75F88D7E">
            <w:pPr>
              <w:pStyle w:val="35"/>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44.90.52.14</w:t>
            </w:r>
          </w:p>
        </w:tc>
      </w:tr>
    </w:tbl>
    <w:p w14:paraId="16D6007F">
      <w:pPr>
        <w:pStyle w:val="35"/>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14:paraId="6C910DCE">
      <w:pPr>
        <w:pStyle w:val="35"/>
        <w:numPr>
          <w:ilvl w:val="0"/>
          <w:numId w:val="0"/>
        </w:numPr>
        <w:tabs>
          <w:tab w:val="left" w:pos="284"/>
          <w:tab w:val="left" w:pos="993"/>
        </w:tabs>
        <w:spacing w:line="276" w:lineRule="auto"/>
        <w:ind w:leftChars="0"/>
        <w:rPr>
          <w:rFonts w:hint="default" w:ascii="Arial" w:hAnsi="Arial" w:cs="Arial"/>
          <w:b w:val="0"/>
          <w:bCs w:val="0"/>
          <w:sz w:val="22"/>
          <w:szCs w:val="22"/>
          <w:lang w:val="pt-BR"/>
        </w:rPr>
      </w:pPr>
    </w:p>
    <w:p w14:paraId="1517E275">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lang w:val="pt-PT"/>
        </w:rPr>
        <w:t>art. 92, III</w:t>
      </w:r>
      <w:r>
        <w:rPr>
          <w:rStyle w:val="10"/>
          <w:rFonts w:ascii="Arial" w:hAnsi="Arial" w:cs="Arial"/>
          <w:sz w:val="22"/>
          <w:szCs w:val="22"/>
          <w:lang w:val="pt-PT"/>
        </w:rPr>
        <w:fldChar w:fldCharType="end"/>
      </w:r>
      <w:r>
        <w:rPr>
          <w:rFonts w:ascii="Arial" w:hAnsi="Arial" w:cs="Arial"/>
          <w:sz w:val="22"/>
          <w:szCs w:val="22"/>
          <w:lang w:val="pt-PT"/>
        </w:rPr>
        <w:t>)</w:t>
      </w:r>
    </w:p>
    <w:p w14:paraId="1933AD5D">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0"/>
          <w:rFonts w:ascii="Arial" w:hAnsi="Arial" w:cs="Arial"/>
        </w:rPr>
        <w:t>nº 14.133, de 2021</w:t>
      </w:r>
      <w:r>
        <w:rPr>
          <w:rStyle w:val="10"/>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0"/>
          <w:rFonts w:ascii="Arial" w:hAnsi="Arial" w:cs="Arial"/>
        </w:rPr>
        <w:t>Lei nº 8.078, de 1990 – Código de Defesa do Consumidor</w:t>
      </w:r>
      <w:r>
        <w:rPr>
          <w:rStyle w:val="10"/>
          <w:rFonts w:ascii="Arial" w:hAnsi="Arial" w:cs="Arial"/>
        </w:rPr>
        <w:fldChar w:fldCharType="end"/>
      </w:r>
      <w:r>
        <w:rPr>
          <w:rFonts w:ascii="Arial" w:hAnsi="Arial" w:cs="Arial"/>
        </w:rPr>
        <w:t xml:space="preserve"> – e normas e princípios gerais dos contratos.</w:t>
      </w:r>
    </w:p>
    <w:p w14:paraId="264BE19E">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24C98B92">
      <w:pPr>
        <w:pStyle w:val="20"/>
        <w:numPr>
          <w:ilvl w:val="1"/>
          <w:numId w:val="3"/>
        </w:numPr>
        <w:tabs>
          <w:tab w:val="left" w:pos="426"/>
        </w:tabs>
        <w:ind w:left="660" w:leftChars="0" w:firstLine="0" w:firstLineChars="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0"/>
          <w:rFonts w:ascii="Arial" w:hAnsi="Arial" w:cs="Arial"/>
        </w:rPr>
        <w:t>arts. 124 e seguintes da Lei nº 14.133, de 2021</w:t>
      </w:r>
      <w:r>
        <w:rPr>
          <w:rStyle w:val="10"/>
          <w:rFonts w:ascii="Arial" w:hAnsi="Arial" w:cs="Arial"/>
        </w:rPr>
        <w:fldChar w:fldCharType="end"/>
      </w:r>
      <w:r>
        <w:rPr>
          <w:rFonts w:ascii="Arial" w:hAnsi="Arial" w:cs="Arial"/>
        </w:rPr>
        <w:t>.</w:t>
      </w:r>
    </w:p>
    <w:p w14:paraId="410EB87B">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21C06CBB">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6CFCA231">
      <w:pPr>
        <w:pStyle w:val="20"/>
        <w:widowControl/>
        <w:numPr>
          <w:ilvl w:val="1"/>
          <w:numId w:val="3"/>
        </w:numPr>
        <w:tabs>
          <w:tab w:val="left" w:pos="426"/>
        </w:tabs>
        <w:autoSpaceDE/>
        <w:autoSpaceDN/>
        <w:spacing w:before="120" w:after="120" w:line="276" w:lineRule="auto"/>
        <w:ind w:left="660" w:leftChars="0" w:firstLine="0" w:firstLineChars="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0"/>
          <w:rFonts w:ascii="Arial" w:hAnsi="Arial" w:cs="Arial"/>
        </w:rPr>
        <w:t>art. 136 da Lei nº 14.133, de 2021</w:t>
      </w:r>
      <w:r>
        <w:rPr>
          <w:rStyle w:val="10"/>
          <w:rFonts w:ascii="Arial" w:hAnsi="Arial" w:cs="Arial"/>
        </w:rPr>
        <w:fldChar w:fldCharType="end"/>
      </w:r>
      <w:r>
        <w:rPr>
          <w:rFonts w:ascii="Arial" w:hAnsi="Arial" w:cs="Arial"/>
        </w:rPr>
        <w:t xml:space="preserve">. </w:t>
      </w:r>
    </w:p>
    <w:p w14:paraId="38F0B41F">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07B02A32">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0"/>
          <w:rFonts w:ascii="Arial" w:hAnsi="Arial" w:cs="Arial"/>
        </w:rPr>
        <w:t>art. 94 da Lei 14.133, de 2021</w:t>
      </w:r>
      <w:r>
        <w:rPr>
          <w:rStyle w:val="10"/>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10"/>
          <w:rFonts w:ascii="Arial" w:hAnsi="Arial" w:cs="Arial"/>
        </w:rPr>
        <w:t>art. 8º, §2º, da Lei n. 12.527, de 2011</w:t>
      </w:r>
      <w:r>
        <w:rPr>
          <w:rStyle w:val="10"/>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10"/>
          <w:rFonts w:ascii="Arial" w:hAnsi="Arial" w:cs="Arial"/>
        </w:rPr>
        <w:t>art. 7º, §3º, inciso V, do Decreto n. 7.724, de 2012</w:t>
      </w:r>
      <w:r>
        <w:rPr>
          <w:rStyle w:val="10"/>
          <w:rFonts w:ascii="Arial" w:hAnsi="Arial" w:cs="Arial"/>
        </w:rPr>
        <w:fldChar w:fldCharType="end"/>
      </w:r>
      <w:r>
        <w:rPr>
          <w:rFonts w:ascii="Arial" w:hAnsi="Arial" w:cs="Arial"/>
        </w:rPr>
        <w:t>.</w:t>
      </w:r>
    </w:p>
    <w:p w14:paraId="350F3C7D">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10"/>
          <w:sz w:val="22"/>
          <w:szCs w:val="22"/>
        </w:rPr>
        <w:t>art. 92, §1º</w:t>
      </w:r>
      <w:r>
        <w:rPr>
          <w:rStyle w:val="10"/>
          <w:sz w:val="22"/>
          <w:szCs w:val="22"/>
        </w:rPr>
        <w:fldChar w:fldCharType="end"/>
      </w:r>
      <w:r>
        <w:rPr>
          <w:sz w:val="22"/>
          <w:szCs w:val="22"/>
        </w:rPr>
        <w:t>)</w:t>
      </w:r>
    </w:p>
    <w:p w14:paraId="1D6D790F">
      <w:pPr>
        <w:pStyle w:val="20"/>
        <w:numPr>
          <w:ilvl w:val="1"/>
          <w:numId w:val="3"/>
        </w:numPr>
        <w:tabs>
          <w:tab w:val="left" w:pos="426"/>
        </w:tabs>
        <w:ind w:left="660" w:leftChars="0" w:firstLine="0" w:firstLineChars="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0AAA150E">
      <w:pPr>
        <w:pStyle w:val="20"/>
        <w:numPr>
          <w:ilvl w:val="1"/>
          <w:numId w:val="3"/>
        </w:numPr>
        <w:tabs>
          <w:tab w:val="left" w:pos="426"/>
        </w:tabs>
        <w:ind w:left="660" w:leftChars="0" w:firstLine="0" w:firstLineChars="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58DD924D">
      <w:pPr>
        <w:spacing w:before="120" w:after="120" w:line="276" w:lineRule="auto"/>
        <w:jc w:val="both"/>
        <w:rPr>
          <w:rFonts w:ascii="Arial" w:hAnsi="Arial" w:cs="Arial"/>
        </w:rPr>
      </w:pPr>
    </w:p>
    <w:p w14:paraId="2961C83E">
      <w:pPr>
        <w:spacing w:after="120" w:line="360" w:lineRule="auto"/>
        <w:ind w:right="-15"/>
        <w:jc w:val="right"/>
        <w:rPr>
          <w:rFonts w:ascii="Arial" w:hAnsi="Arial" w:cs="Arial"/>
        </w:rPr>
      </w:pPr>
      <w:r>
        <w:rPr>
          <w:rFonts w:ascii="Arial" w:hAnsi="Arial" w:cs="Arial"/>
        </w:rPr>
        <w:t>...........................................,  .......... de.......................................... de 2026.</w:t>
      </w:r>
    </w:p>
    <w:p w14:paraId="5FF35D8F">
      <w:pPr>
        <w:spacing w:after="120"/>
        <w:jc w:val="center"/>
        <w:rPr>
          <w:rFonts w:ascii="Arial" w:hAnsi="Arial" w:cs="Arial"/>
          <w:bCs/>
        </w:rPr>
      </w:pPr>
    </w:p>
    <w:p w14:paraId="203F6329">
      <w:pPr>
        <w:spacing w:after="120"/>
        <w:jc w:val="center"/>
        <w:rPr>
          <w:rFonts w:ascii="Arial" w:hAnsi="Arial" w:cs="Arial"/>
          <w:bCs/>
        </w:rPr>
      </w:pPr>
    </w:p>
    <w:p w14:paraId="5D44C2D5">
      <w:pPr>
        <w:spacing w:after="120"/>
        <w:jc w:val="center"/>
        <w:rPr>
          <w:rFonts w:ascii="Arial" w:hAnsi="Arial" w:cs="Arial"/>
          <w:bCs/>
        </w:rPr>
      </w:pPr>
    </w:p>
    <w:p w14:paraId="2248D179">
      <w:pPr>
        <w:spacing w:after="120"/>
        <w:jc w:val="center"/>
        <w:rPr>
          <w:rFonts w:ascii="Arial" w:hAnsi="Arial" w:cs="Arial"/>
          <w:bCs/>
        </w:rPr>
      </w:pPr>
      <w:r>
        <w:rPr>
          <w:rFonts w:ascii="Arial" w:hAnsi="Arial" w:cs="Arial"/>
          <w:bCs/>
        </w:rPr>
        <w:t>_________________________</w:t>
      </w:r>
    </w:p>
    <w:p w14:paraId="047E0AAF">
      <w:pPr>
        <w:spacing w:after="120"/>
        <w:jc w:val="center"/>
        <w:rPr>
          <w:rFonts w:ascii="Arial" w:hAnsi="Arial" w:cs="Arial"/>
          <w:bCs/>
        </w:rPr>
      </w:pPr>
      <w:r>
        <w:rPr>
          <w:rFonts w:ascii="Arial" w:hAnsi="Arial" w:cs="Arial"/>
          <w:bCs/>
        </w:rPr>
        <w:t>Responsável legal da CONTRATANTE</w:t>
      </w:r>
    </w:p>
    <w:p w14:paraId="34EAC5C2">
      <w:pPr>
        <w:spacing w:after="120"/>
        <w:jc w:val="center"/>
        <w:rPr>
          <w:rFonts w:ascii="Arial" w:hAnsi="Arial" w:cs="Arial"/>
        </w:rPr>
      </w:pPr>
    </w:p>
    <w:p w14:paraId="35C03989">
      <w:pPr>
        <w:spacing w:after="120"/>
        <w:jc w:val="center"/>
        <w:rPr>
          <w:rFonts w:ascii="Arial" w:hAnsi="Arial" w:cs="Arial"/>
        </w:rPr>
      </w:pPr>
      <w:r>
        <w:rPr>
          <w:rFonts w:ascii="Arial" w:hAnsi="Arial" w:cs="Arial"/>
        </w:rPr>
        <w:t>_________________________</w:t>
      </w:r>
    </w:p>
    <w:p w14:paraId="2787ED38">
      <w:pPr>
        <w:spacing w:after="120"/>
        <w:jc w:val="center"/>
        <w:rPr>
          <w:rFonts w:ascii="Arial" w:hAnsi="Arial" w:cs="Arial"/>
        </w:rPr>
      </w:pPr>
      <w:r>
        <w:rPr>
          <w:rFonts w:ascii="Arial" w:hAnsi="Arial" w:cs="Arial"/>
        </w:rPr>
        <w:t>Responsável legal da CONTRATADA</w:t>
      </w:r>
    </w:p>
    <w:p w14:paraId="63FD88E5">
      <w:pPr>
        <w:spacing w:after="120"/>
        <w:jc w:val="both"/>
        <w:rPr>
          <w:rFonts w:ascii="Arial" w:hAnsi="Arial" w:cs="Arial"/>
        </w:rPr>
      </w:pPr>
    </w:p>
    <w:p w14:paraId="063512EB">
      <w:pPr>
        <w:spacing w:after="120"/>
        <w:jc w:val="both"/>
        <w:rPr>
          <w:rFonts w:ascii="Arial" w:hAnsi="Arial" w:cs="Arial"/>
        </w:rPr>
      </w:pPr>
      <w:r>
        <w:rPr>
          <w:rFonts w:ascii="Arial" w:hAnsi="Arial" w:cs="Arial"/>
        </w:rPr>
        <w:t>TESTEMUNHAS:</w:t>
      </w:r>
    </w:p>
    <w:p w14:paraId="7D9F55B5">
      <w:pPr>
        <w:spacing w:after="120"/>
        <w:jc w:val="both"/>
        <w:rPr>
          <w:rFonts w:ascii="Arial" w:hAnsi="Arial" w:cs="Arial"/>
        </w:rPr>
      </w:pPr>
      <w:r>
        <w:rPr>
          <w:rFonts w:ascii="Arial" w:hAnsi="Arial" w:cs="Arial"/>
        </w:rPr>
        <w:t>1-</w:t>
      </w:r>
    </w:p>
    <w:p w14:paraId="3D01D70B">
      <w:pPr>
        <w:spacing w:after="120"/>
        <w:jc w:val="both"/>
        <w:rPr>
          <w:rFonts w:ascii="Arial" w:hAnsi="Arial" w:cs="Arial"/>
        </w:rPr>
      </w:pPr>
      <w:r>
        <w:rPr>
          <w:rFonts w:ascii="Arial" w:hAnsi="Arial" w:cs="Arial"/>
        </w:rPr>
        <w:t>2-</w:t>
      </w:r>
    </w:p>
    <w:p w14:paraId="08FDE0F1">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5F4C">
    <w:pPr>
      <w:pStyle w:val="16"/>
      <w:jc w:val="center"/>
      <w:rPr>
        <w:rFonts w:ascii="Azo Sans Md" w:hAnsi="Azo Sans Md"/>
        <w:b/>
        <w:bCs/>
        <w:color w:val="000000"/>
        <w:sz w:val="18"/>
        <w:szCs w:val="18"/>
      </w:rPr>
    </w:pPr>
  </w:p>
  <w:p w14:paraId="1711BB1B">
    <w:pPr>
      <w:pStyle w:val="16"/>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6DE96AAC">
    <w:pPr>
      <w:pStyle w:val="16"/>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10"/>
        <w:rFonts w:ascii="Arial" w:hAnsi="Arial" w:cs="Arial"/>
        <w:sz w:val="18"/>
        <w:szCs w:val="18"/>
      </w:rPr>
      <w:t>pregaoeletronico.friburgo@gmail.com</w:t>
    </w:r>
    <w:r>
      <w:rPr>
        <w:rStyle w:val="10"/>
        <w:rFonts w:ascii="Arial" w:hAnsi="Arial" w:cs="Arial"/>
        <w:sz w:val="18"/>
        <w:szCs w:val="18"/>
      </w:rPr>
      <w:fldChar w:fldCharType="end"/>
    </w:r>
    <w:r>
      <w:rPr>
        <w:rFonts w:ascii="Arial" w:hAnsi="Arial" w:cs="Arial"/>
        <w:color w:val="000000"/>
        <w:sz w:val="18"/>
        <w:szCs w:val="18"/>
      </w:rPr>
      <w:t xml:space="preserve"> – Telefone: (22) 2525-9100 – </w:t>
    </w:r>
  </w:p>
  <w:p w14:paraId="214DB7D2">
    <w:pPr>
      <w:pStyle w:val="16"/>
      <w:jc w:val="center"/>
      <w:rPr>
        <w:rFonts w:ascii="Arial" w:hAnsi="Arial" w:cs="Arial"/>
        <w:color w:val="000000"/>
        <w:sz w:val="18"/>
        <w:szCs w:val="18"/>
      </w:rPr>
    </w:pPr>
    <w:r>
      <w:rPr>
        <w:rFonts w:ascii="Arial" w:hAnsi="Arial" w:cs="Arial"/>
        <w:color w:val="000000"/>
        <w:sz w:val="18"/>
        <w:szCs w:val="18"/>
      </w:rPr>
      <w:t>(22) 2525-9101</w:t>
    </w:r>
  </w:p>
  <w:p w14:paraId="7E7CF067">
    <w:pPr>
      <w:pStyle w:val="16"/>
      <w:jc w:val="center"/>
      <w:rPr>
        <w:rFonts w:ascii="Arial" w:hAnsi="Arial" w:cs="Arial"/>
        <w:color w:val="000000"/>
        <w:sz w:val="18"/>
        <w:szCs w:val="18"/>
      </w:rPr>
    </w:pPr>
  </w:p>
  <w:p w14:paraId="4476389C">
    <w:pPr>
      <w:pStyle w:val="16"/>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E4122">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71E63">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43668">
    <w:pPr>
      <w:pStyle w:val="15"/>
      <w:ind w:left="-204" w:leftChars="-100" w:hanging="16" w:hangingChars="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1D272952">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557F66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D78BA">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90467">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102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4"/>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C6D26"/>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4992"/>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398C"/>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01CF"/>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3E65673"/>
    <w:rsid w:val="05451EB3"/>
    <w:rsid w:val="069A6242"/>
    <w:rsid w:val="074B3B29"/>
    <w:rsid w:val="0D8E3FB1"/>
    <w:rsid w:val="10E736EC"/>
    <w:rsid w:val="11CC2ACE"/>
    <w:rsid w:val="133B2D8D"/>
    <w:rsid w:val="188B43D5"/>
    <w:rsid w:val="19EC5329"/>
    <w:rsid w:val="1A822E31"/>
    <w:rsid w:val="1AF72D93"/>
    <w:rsid w:val="1D6E6CB1"/>
    <w:rsid w:val="1FD12E07"/>
    <w:rsid w:val="24801D91"/>
    <w:rsid w:val="252C1FEB"/>
    <w:rsid w:val="262B53C8"/>
    <w:rsid w:val="27A73335"/>
    <w:rsid w:val="2F680D23"/>
    <w:rsid w:val="302A7494"/>
    <w:rsid w:val="305F19E4"/>
    <w:rsid w:val="31AB19DC"/>
    <w:rsid w:val="32836B4A"/>
    <w:rsid w:val="349E3604"/>
    <w:rsid w:val="350E769E"/>
    <w:rsid w:val="36475A46"/>
    <w:rsid w:val="371F4852"/>
    <w:rsid w:val="37F22F95"/>
    <w:rsid w:val="3863104B"/>
    <w:rsid w:val="39690CBE"/>
    <w:rsid w:val="3A0207A8"/>
    <w:rsid w:val="3C4D19A5"/>
    <w:rsid w:val="3C9967A2"/>
    <w:rsid w:val="3D361311"/>
    <w:rsid w:val="3D8B5196"/>
    <w:rsid w:val="3FF1682D"/>
    <w:rsid w:val="420F4073"/>
    <w:rsid w:val="44462500"/>
    <w:rsid w:val="45664A55"/>
    <w:rsid w:val="460D6DA0"/>
    <w:rsid w:val="4630091A"/>
    <w:rsid w:val="469460F7"/>
    <w:rsid w:val="48C520F5"/>
    <w:rsid w:val="49106F32"/>
    <w:rsid w:val="4AE843B5"/>
    <w:rsid w:val="4BEA681C"/>
    <w:rsid w:val="4CF83380"/>
    <w:rsid w:val="4D1833C1"/>
    <w:rsid w:val="501F24D5"/>
    <w:rsid w:val="51084AD3"/>
    <w:rsid w:val="516F6215"/>
    <w:rsid w:val="52724B2C"/>
    <w:rsid w:val="565561CB"/>
    <w:rsid w:val="58A8759E"/>
    <w:rsid w:val="5C237373"/>
    <w:rsid w:val="5D6265F9"/>
    <w:rsid w:val="5F212774"/>
    <w:rsid w:val="607404DA"/>
    <w:rsid w:val="617E45BA"/>
    <w:rsid w:val="623C6820"/>
    <w:rsid w:val="638A735E"/>
    <w:rsid w:val="63DE6DE8"/>
    <w:rsid w:val="648E36F2"/>
    <w:rsid w:val="64C44EC4"/>
    <w:rsid w:val="655965EF"/>
    <w:rsid w:val="65F12FD0"/>
    <w:rsid w:val="68532C20"/>
    <w:rsid w:val="6A8112BC"/>
    <w:rsid w:val="6D3B025A"/>
    <w:rsid w:val="6DD90242"/>
    <w:rsid w:val="700C7008"/>
    <w:rsid w:val="70923203"/>
    <w:rsid w:val="70DE5E26"/>
    <w:rsid w:val="71A355C5"/>
    <w:rsid w:val="72DC3AFD"/>
    <w:rsid w:val="74132F32"/>
    <w:rsid w:val="7460082B"/>
    <w:rsid w:val="749B1192"/>
    <w:rsid w:val="75F41467"/>
    <w:rsid w:val="77B2358A"/>
    <w:rsid w:val="78057541"/>
    <w:rsid w:val="78942820"/>
    <w:rsid w:val="7932527C"/>
    <w:rsid w:val="798677EE"/>
    <w:rsid w:val="7A1B38CD"/>
    <w:rsid w:val="7B294B6E"/>
    <w:rsid w:val="7D242A03"/>
    <w:rsid w:val="7E390B0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3"/>
    <w:basedOn w:val="1"/>
    <w:next w:val="1"/>
    <w:unhideWhenUsed/>
    <w:qFormat/>
    <w:uiPriority w:val="9"/>
    <w:pPr>
      <w:ind w:left="1672" w:hanging="360"/>
      <w:outlineLvl w:val="2"/>
    </w:pPr>
    <w:rPr>
      <w:b/>
      <w:bCs/>
      <w:sz w:val="20"/>
      <w:szCs w:val="20"/>
    </w:rPr>
  </w:style>
  <w:style w:type="paragraph" w:styleId="5">
    <w:name w:val="heading 8"/>
    <w:basedOn w:val="1"/>
    <w:next w:val="1"/>
    <w:link w:val="25"/>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annotation reference"/>
    <w:basedOn w:val="6"/>
    <w:unhideWhenUsed/>
    <w:qFormat/>
    <w:uiPriority w:val="0"/>
    <w:rPr>
      <w:sz w:val="16"/>
      <w:szCs w:val="16"/>
    </w:rPr>
  </w:style>
  <w:style w:type="character" w:styleId="9">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10">
    <w:name w:val="Hyperlink"/>
    <w:basedOn w:val="6"/>
    <w:unhideWhenUsed/>
    <w:qFormat/>
    <w:uiPriority w:val="99"/>
    <w:rPr>
      <w:color w:val="0000FF"/>
      <w:u w:val="single"/>
    </w:rPr>
  </w:style>
  <w:style w:type="paragraph" w:styleId="11">
    <w:name w:val="Body Text"/>
    <w:basedOn w:val="1"/>
    <w:qFormat/>
    <w:uiPriority w:val="1"/>
    <w:rPr>
      <w:sz w:val="18"/>
      <w:szCs w:val="18"/>
    </w:rPr>
  </w:style>
  <w:style w:type="paragraph" w:styleId="12">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3">
    <w:name w:val="Title"/>
    <w:basedOn w:val="1"/>
    <w:qFormat/>
    <w:uiPriority w:val="10"/>
    <w:pPr>
      <w:spacing w:before="30"/>
      <w:ind w:left="20"/>
    </w:pPr>
    <w:rPr>
      <w:rFonts w:ascii="Arial" w:hAnsi="Arial" w:eastAsia="Arial" w:cs="Arial"/>
    </w:rPr>
  </w:style>
  <w:style w:type="paragraph" w:styleId="14">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5">
    <w:name w:val="header"/>
    <w:basedOn w:val="1"/>
    <w:link w:val="22"/>
    <w:unhideWhenUsed/>
    <w:qFormat/>
    <w:uiPriority w:val="0"/>
    <w:pPr>
      <w:tabs>
        <w:tab w:val="center" w:pos="4252"/>
        <w:tab w:val="right" w:pos="8504"/>
      </w:tabs>
    </w:pPr>
  </w:style>
  <w:style w:type="paragraph" w:styleId="16">
    <w:name w:val="footer"/>
    <w:basedOn w:val="1"/>
    <w:link w:val="23"/>
    <w:unhideWhenUsed/>
    <w:qFormat/>
    <w:uiPriority w:val="99"/>
    <w:pPr>
      <w:tabs>
        <w:tab w:val="center" w:pos="4252"/>
        <w:tab w:val="right" w:pos="8504"/>
      </w:tabs>
    </w:pPr>
  </w:style>
  <w:style w:type="paragraph" w:styleId="17">
    <w:name w:val="Balloon Text"/>
    <w:basedOn w:val="1"/>
    <w:link w:val="37"/>
    <w:semiHidden/>
    <w:unhideWhenUsed/>
    <w:qFormat/>
    <w:uiPriority w:val="99"/>
    <w:rPr>
      <w:rFonts w:ascii="Segoe UI" w:hAnsi="Segoe UI" w:cs="Segoe UI"/>
      <w:sz w:val="18"/>
      <w:szCs w:val="18"/>
    </w:rPr>
  </w:style>
  <w:style w:type="table" w:styleId="18">
    <w:name w:val="Table Grid"/>
    <w:basedOn w:val="7"/>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link w:val="56"/>
    <w:qFormat/>
    <w:uiPriority w:val="34"/>
    <w:pPr>
      <w:spacing w:before="121"/>
      <w:ind w:left="301"/>
    </w:pPr>
  </w:style>
  <w:style w:type="paragraph" w:customStyle="1" w:styleId="21">
    <w:name w:val="Table Paragraph"/>
    <w:basedOn w:val="1"/>
    <w:qFormat/>
    <w:uiPriority w:val="1"/>
  </w:style>
  <w:style w:type="character" w:customStyle="1" w:styleId="22">
    <w:name w:val="Cabeçalho Char"/>
    <w:basedOn w:val="6"/>
    <w:link w:val="15"/>
    <w:qFormat/>
    <w:uiPriority w:val="0"/>
    <w:rPr>
      <w:rFonts w:ascii="Verdana" w:hAnsi="Verdana" w:eastAsia="Verdana" w:cs="Verdana"/>
      <w:lang w:val="pt-PT"/>
    </w:rPr>
  </w:style>
  <w:style w:type="character" w:customStyle="1" w:styleId="23">
    <w:name w:val="Rodapé Char"/>
    <w:basedOn w:val="6"/>
    <w:link w:val="16"/>
    <w:qFormat/>
    <w:uiPriority w:val="99"/>
    <w:rPr>
      <w:rFonts w:ascii="Verdana" w:hAnsi="Verdana" w:eastAsia="Verdana" w:cs="Verdana"/>
      <w:lang w:val="pt-PT"/>
    </w:rPr>
  </w:style>
  <w:style w:type="paragraph" w:styleId="24">
    <w:name w:val="No Spacing"/>
    <w:link w:val="26"/>
    <w:qFormat/>
    <w:uiPriority w:val="1"/>
    <w:rPr>
      <w:rFonts w:ascii="Calibri" w:hAnsi="Calibri" w:eastAsia="Times New Roman" w:cs="Times New Roman"/>
      <w:sz w:val="22"/>
      <w:szCs w:val="22"/>
      <w:lang w:val="pt-BR" w:eastAsia="pt-BR" w:bidi="ar-SA"/>
    </w:rPr>
  </w:style>
  <w:style w:type="character" w:customStyle="1" w:styleId="25">
    <w:name w:val="Título 8 Char"/>
    <w:basedOn w:val="6"/>
    <w:link w:val="5"/>
    <w:qFormat/>
    <w:uiPriority w:val="0"/>
    <w:rPr>
      <w:rFonts w:ascii="Calibri" w:hAnsi="Calibri" w:eastAsia="Times New Roman" w:cs="Times New Roman"/>
      <w:i/>
      <w:iCs/>
      <w:sz w:val="24"/>
      <w:szCs w:val="24"/>
    </w:rPr>
  </w:style>
  <w:style w:type="character" w:customStyle="1" w:styleId="26">
    <w:name w:val="Sem Espaçamento Char"/>
    <w:link w:val="24"/>
    <w:qFormat/>
    <w:uiPriority w:val="1"/>
    <w:rPr>
      <w:rFonts w:ascii="Calibri" w:hAnsi="Calibri" w:eastAsia="Times New Roman" w:cs="Times New Roman"/>
      <w:sz w:val="22"/>
      <w:szCs w:val="22"/>
    </w:rPr>
  </w:style>
  <w:style w:type="paragraph" w:styleId="27">
    <w:name w:val="Quote"/>
    <w:basedOn w:val="1"/>
    <w:next w:val="1"/>
    <w:link w:val="28"/>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8">
    <w:name w:val="Citação Char"/>
    <w:basedOn w:val="6"/>
    <w:link w:val="27"/>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style>
  <w:style w:type="character" w:customStyle="1" w:styleId="30">
    <w:name w:val="citação 2 Char"/>
    <w:basedOn w:val="28"/>
    <w:link w:val="29"/>
    <w:qFormat/>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2">
    <w:name w:val="Grade Colorida - Ênfase 1 Char"/>
    <w:link w:val="31"/>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3">
    <w:name w:val="Nivel_01_Titulo"/>
    <w:basedOn w:val="2"/>
    <w:next w:val="1"/>
    <w:link w:val="34"/>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4">
    <w:name w:val="Nivel_01_Titulo Char"/>
    <w:basedOn w:val="28"/>
    <w:link w:val="33"/>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5">
    <w:name w:val="Nivel_01"/>
    <w:basedOn w:val="2"/>
    <w:link w:val="36"/>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6">
    <w:name w:val="Nivel_01 Char"/>
    <w:basedOn w:val="6"/>
    <w:link w:val="35"/>
    <w:qFormat/>
    <w:uiPriority w:val="0"/>
    <w:rPr>
      <w:rFonts w:ascii="Ecofont_Spranq_eco_Sans" w:hAnsi="Ecofont_Spranq_eco_Sans" w:cs="Times New Roman" w:eastAsiaTheme="majorEastAsia"/>
      <w:b/>
      <w:bCs/>
    </w:rPr>
  </w:style>
  <w:style w:type="character" w:customStyle="1" w:styleId="37">
    <w:name w:val="Texto de balão Char"/>
    <w:basedOn w:val="6"/>
    <w:link w:val="17"/>
    <w:semiHidden/>
    <w:qFormat/>
    <w:uiPriority w:val="99"/>
    <w:rPr>
      <w:rFonts w:ascii="Segoe UI" w:hAnsi="Segoe UI" w:eastAsia="Verdana" w:cs="Segoe UI"/>
      <w:sz w:val="18"/>
      <w:szCs w:val="18"/>
      <w:lang w:val="pt-PT" w:eastAsia="en-US"/>
    </w:rPr>
  </w:style>
  <w:style w:type="paragraph" w:customStyle="1" w:styleId="38">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9">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0">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1">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2">
    <w:name w:val="Tabela com grade1"/>
    <w:basedOn w:val="7"/>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Unresolved Mention"/>
    <w:basedOn w:val="6"/>
    <w:semiHidden/>
    <w:unhideWhenUsed/>
    <w:qFormat/>
    <w:uiPriority w:val="99"/>
    <w:rPr>
      <w:color w:val="605E5C"/>
      <w:shd w:val="clear" w:color="auto" w:fill="E1DFDD"/>
    </w:rPr>
  </w:style>
  <w:style w:type="paragraph" w:customStyle="1" w:styleId="44">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6"/>
    <w:link w:val="12"/>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6"/>
    <w:link w:val="51"/>
    <w:qFormat/>
    <w:uiPriority w:val="0"/>
    <w:rPr>
      <w:rFonts w:ascii="Arial" w:hAnsi="Arial" w:cs="Arial" w:eastAsiaTheme="minorEastAsia"/>
      <w:i/>
      <w:iCs/>
      <w:color w:val="FF0000"/>
    </w:rPr>
  </w:style>
  <w:style w:type="paragraph" w:customStyle="1" w:styleId="53">
    <w:name w:val="ou"/>
    <w:basedOn w:val="20"/>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6"/>
    <w:link w:val="53"/>
    <w:qFormat/>
    <w:uiPriority w:val="0"/>
    <w:rPr>
      <w:rFonts w:ascii="Arial" w:hAnsi="Arial" w:cs="Arial"/>
      <w:b/>
      <w:bCs/>
      <w:i/>
      <w:iCs/>
      <w:color w:val="FF0000"/>
      <w:sz w:val="24"/>
      <w:szCs w:val="24"/>
      <w:u w:val="single"/>
    </w:rPr>
  </w:style>
  <w:style w:type="character" w:customStyle="1" w:styleId="55">
    <w:name w:val="Nivel 2 Char"/>
    <w:basedOn w:val="6"/>
    <w:link w:val="46"/>
    <w:qFormat/>
    <w:locked/>
    <w:uiPriority w:val="0"/>
    <w:rPr>
      <w:rFonts w:ascii="Arial" w:hAnsi="Arial" w:cs="Arial" w:eastAsiaTheme="minorEastAsia"/>
      <w:color w:val="000000"/>
    </w:rPr>
  </w:style>
  <w:style w:type="character" w:customStyle="1" w:styleId="56">
    <w:name w:val="Parágrafo da Lista Char"/>
    <w:basedOn w:val="6"/>
    <w:link w:val="20"/>
    <w:qFormat/>
    <w:uiPriority w:val="34"/>
    <w:rPr>
      <w:rFonts w:ascii="Verdana" w:hAnsi="Verdana" w:eastAsia="Verdana" w:cs="Verdana"/>
      <w:sz w:val="22"/>
      <w:szCs w:val="22"/>
      <w:lang w:val="pt-PT" w:eastAsia="en-US"/>
    </w:rPr>
  </w:style>
  <w:style w:type="character" w:customStyle="1" w:styleId="57">
    <w:name w:val="Nivel 3 Char"/>
    <w:basedOn w:val="6"/>
    <w:link w:val="47"/>
    <w:qFormat/>
    <w:uiPriority w:val="0"/>
    <w:rPr>
      <w:rFonts w:ascii="Arial" w:hAnsi="Arial" w:cs="Arial" w:eastAsiaTheme="minorEastAsia"/>
      <w:color w:val="000000"/>
    </w:rPr>
  </w:style>
  <w:style w:type="character" w:customStyle="1" w:styleId="58">
    <w:name w:val="Nivel 01 Char"/>
    <w:basedOn w:val="6"/>
    <w:link w:val="45"/>
    <w:qFormat/>
    <w:uiPriority w:val="0"/>
    <w:rPr>
      <w:rFonts w:ascii="Arial" w:hAnsi="Arial" w:cs="Arial" w:eastAsiaTheme="majorEastAsia"/>
      <w:b/>
      <w:bCs/>
    </w:rPr>
  </w:style>
  <w:style w:type="character" w:customStyle="1" w:styleId="59">
    <w:name w:val="Nível 3-R Char"/>
    <w:basedOn w:val="6"/>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6"/>
    <w:link w:val="48"/>
    <w:qFormat/>
    <w:locked/>
    <w:uiPriority w:val="0"/>
    <w:rPr>
      <w:rFonts w:ascii="Arial" w:hAnsi="Arial" w:cs="Arial" w:eastAsiaTheme="minorEastAsia"/>
    </w:rPr>
  </w:style>
  <w:style w:type="table" w:customStyle="1" w:styleId="62">
    <w:name w:val="_Style 20"/>
    <w:basedOn w:val="63"/>
    <w:qFormat/>
    <w:uiPriority w:val="0"/>
    <w:tblPr>
      <w:tblCellMar>
        <w:top w:w="0" w:type="dxa"/>
        <w:left w:w="5" w:type="dxa"/>
        <w:bottom w:w="0" w:type="dxa"/>
        <w:right w:w="5" w:type="dxa"/>
      </w:tblCellMar>
    </w:tblPr>
  </w:style>
  <w:style w:type="table" w:customStyle="1" w:styleId="63">
    <w:name w:val="TableNormal"/>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26</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2026-08-20T17:36:40Z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